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BD" w:rsidRPr="00A326BD" w:rsidRDefault="00A326BD" w:rsidP="00A326BD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87E93"/>
          <w:sz w:val="17"/>
          <w:szCs w:val="17"/>
          <w:lang w:eastAsia="pt-BR"/>
        </w:rPr>
      </w:pPr>
      <w:bookmarkStart w:id="0" w:name="_GoBack"/>
      <w:r w:rsidRPr="00A326BD">
        <w:rPr>
          <w:rFonts w:ascii="Tahoma" w:eastAsia="Times New Roman" w:hAnsi="Tahoma" w:cs="Tahoma"/>
          <w:b/>
          <w:bCs/>
          <w:color w:val="587E93"/>
          <w:sz w:val="17"/>
          <w:szCs w:val="17"/>
          <w:lang w:eastAsia="pt-BR"/>
        </w:rPr>
        <w:t xml:space="preserve">Defensoria Pública e ação civil pública </w:t>
      </w:r>
      <w:bookmarkEnd w:id="0"/>
      <w:r w:rsidRPr="00A326BD">
        <w:rPr>
          <w:rFonts w:ascii="Tahoma" w:eastAsia="Times New Roman" w:hAnsi="Tahoma" w:cs="Tahoma"/>
          <w:b/>
          <w:bCs/>
          <w:color w:val="587E93"/>
          <w:sz w:val="17"/>
          <w:szCs w:val="17"/>
          <w:lang w:eastAsia="pt-BR"/>
        </w:rPr>
        <w:t>- 1</w:t>
      </w:r>
    </w:p>
    <w:p w:rsidR="00A326BD" w:rsidRPr="00A326BD" w:rsidRDefault="00A326BD" w:rsidP="00A3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A Defensoria Pública tem legitimidade para propor ação civil pública, na defesa de interesses difusos, coletivos ou individuais homogêneos. Com base nessa orientação, o Plenário julgou improcedente pedido formulado em ação direta ajuizada contra o art. 5º, II, da Lei 7.347/1985, alterada pela Lei 11.448/2007 (“Art. 5º - Têm legitimidade para propor a ação principal e a ação cautelar: ... II - a Defensoria Pública”). De início, o Colegiado, por maioria, reconheceu preenchidos os requisitos de pertinência temática e de legitimidade ativa da Associação Nacional dos Membros do Ministério Público – </w:t>
      </w:r>
      <w:proofErr w:type="spellStart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Conamp</w:t>
      </w:r>
      <w:proofErr w:type="spellEnd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 para propor a presente ação. O Estatuto da </w:t>
      </w:r>
      <w:proofErr w:type="spellStart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Conamp</w:t>
      </w:r>
      <w:proofErr w:type="spellEnd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 preveria a legitimidade para ajuizamento de ação de controle abstrato perante o STF, especificamente naquilo que dissesse respeito às atribuições da própria instituição. Vencido, no ponto, o Ministro Marco Aurélio. Apontava haver pertinência temática se se tratasse não da ação civil pública, mas da ação penal pública incondicionada. Asseverava não haver direito específico, peculiar e exclusivo dos representados e, por isso, estaria ausente de pertinência temática. Não estendia, às associações, a legitimação universal. Também por maioria, o Tribunal rejeitou preliminar de </w:t>
      </w:r>
      <w:proofErr w:type="spellStart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prejudicialidade</w:t>
      </w:r>
      <w:proofErr w:type="spellEnd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 da ação. Para o Colegiado, o que se pusera em discussão fora a própria lei da ação civil pública com consequências para as atribuições dos agentes indicados, e não a Lei da Defensoria. Em outras palavras, estaria em discussão a própria concepção do que seria ação civil pública, do que resultaria a desnecessidade de aditamento da petição inicial. Embora a norma constitucional tida por contrariada tivesse nova redação, a alteração do parâmetro do controle de constitucionalidade não teria sido substancial a ponto de obstar a atuação jurisdicional do STF. Seria importante apreciar a questão constitucional posta em apreciação, porque significaria delinear o modelo constitucional de acesso à justiça, além de se delimitar as atribuições da Defensoria Pública, instituição essencial à construção do Estado Democrático de Direito. A jurisprudência clássica do STF exigiria a emenda à inicial, porém, a questão jurídica continuaria em aberto. Além do mais, o interesse público em sanar a questão sobrepujaria o formalismo de se exigir petição a emendar a inicial. As normas posteriores não alteraram, mas confirmaram o tema ora questionado. Vencido, no ponto, o Ministro </w:t>
      </w:r>
      <w:proofErr w:type="spellStart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Teori</w:t>
      </w:r>
      <w:proofErr w:type="spellEnd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 Zavascki, que julgava prejudicada a ação. Destacava que o inciso II do art. 5º da Lei 7.347/1985 teria sido revogado pela superveniente LC 132/2009, que dera outro tratamento ao tema. De nada adiantaria fazer juízo sobre a inconstitucionalidade desse dispositivo se não fosse feito juízo semelhante aos demais dispositivos da superveniente LC 80/1994, com as modificações da LC 132/2009. Assim, sem emenda à petição inicial para nela incluir esses dispositivos, a presente ação direta estaria prejudicada.</w:t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hyperlink r:id="rId4" w:history="1">
        <w:r w:rsidRPr="00A326BD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  <w:lang w:eastAsia="pt-BR"/>
          </w:rPr>
          <w:t xml:space="preserve">ADI 3943/DF, rel. Min. </w:t>
        </w:r>
        <w:proofErr w:type="spellStart"/>
        <w:r w:rsidRPr="00A326BD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  <w:lang w:eastAsia="pt-BR"/>
          </w:rPr>
          <w:t>Cármen</w:t>
        </w:r>
        <w:proofErr w:type="spellEnd"/>
        <w:r w:rsidRPr="00A326BD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  <w:lang w:eastAsia="pt-BR"/>
          </w:rPr>
          <w:t xml:space="preserve"> Lúcia, 6 e 7.5.2015. (ADI-3943)</w:t>
        </w:r>
      </w:hyperlink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noProof/>
          <w:color w:val="007CC2"/>
          <w:sz w:val="17"/>
          <w:szCs w:val="17"/>
          <w:shd w:val="clear" w:color="auto" w:fill="FFFFFF"/>
          <w:lang w:eastAsia="pt-BR"/>
        </w:rPr>
        <w:drawing>
          <wp:inline distT="0" distB="0" distL="0" distR="0" wp14:anchorId="6DBFE340" wp14:editId="757DFBDE">
            <wp:extent cx="419100" cy="85725"/>
            <wp:effectExtent l="0" t="0" r="0" b="9525"/>
            <wp:docPr id="1" name="Imagem 1" descr="Audi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i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 </w:t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</w:p>
    <w:p w:rsidR="00A326BD" w:rsidRPr="00A326BD" w:rsidRDefault="00A326BD" w:rsidP="00A326BD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587E93"/>
          <w:sz w:val="17"/>
          <w:szCs w:val="17"/>
          <w:lang w:eastAsia="pt-BR"/>
        </w:rPr>
      </w:pPr>
      <w:bookmarkStart w:id="1" w:name="Defensoria_Pública_e_ação_civil_pública_"/>
      <w:bookmarkEnd w:id="1"/>
      <w:r w:rsidRPr="00A326BD">
        <w:rPr>
          <w:rFonts w:ascii="Tahoma" w:eastAsia="Times New Roman" w:hAnsi="Tahoma" w:cs="Tahoma"/>
          <w:b/>
          <w:bCs/>
          <w:color w:val="587E93"/>
          <w:sz w:val="17"/>
          <w:szCs w:val="17"/>
          <w:lang w:eastAsia="pt-BR"/>
        </w:rPr>
        <w:t>Defensoria Pública e ação civil pública - 2</w:t>
      </w:r>
    </w:p>
    <w:p w:rsidR="003D5C2A" w:rsidRDefault="00A326BD" w:rsidP="00A326BD"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No mérito, o Plenário assentou que a discussão sobre a validade da norma que reconhecera a legitimidade da Defensoria Pública para ajuizar ação civil pública, em típica tutela dos direitos </w:t>
      </w:r>
      <w:proofErr w:type="spellStart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transindividuais</w:t>
      </w:r>
      <w:proofErr w:type="spellEnd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 e individuais homogêneos, ultrapassaria os interesses de ordem subjetiva e teria fundamento em definições de natureza constitucional-processual, afetos à tutela dos cidadãos social e economicamente menos favorecidos da </w:t>
      </w:r>
      <w:proofErr w:type="gramStart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sociedade</w:t>
      </w:r>
      <w:proofErr w:type="gramEnd"/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 xml:space="preserve">. Ao aprovar a EC 80/2014, o constituinte derivado fizera constar o papel relevante da Defensoria Pública (“Art. 134. A Defensoria Pública é instituição permanente, essencial à função jurisdicional do Estado, incumbindo-lhe, como expressão e instrumento do regime democrático, fundamentalmente, a orientação jurídica, a promoção dos direitos humanos e a defesa, em todos os graus, judicial e extrajudicial, dos direitos individuais e coletivos, de forma integral e gratuita, aos necessitados, na forma do inciso LXXIV do art. 5º desta Constituição Federal”). Em Estado marcado por inegáveis e graves desníveis sociais e pela concentração de renda, uma das grandes barreiras para a implementação da democracia e da cidadania ainda seria o efetivo acesso à Justiça. Além disso, em Estado no qual as relações jurídicas importariam em danos patrimoniais e morais de massa por causa do desrespeito aos direitos de conjuntos de indivíduos que, consciente ou inconscientemente, experimentariam viver, o dever de promover políticas públicas tendentes a reduzir ou suprimir essas enormes diferenças passaria pela operacionalização de instrumentos que atendessem com eficiência às necessidades dos seus cidadãos. A interpretação sugerida pela autora desta ação tolheria, sem razões de ordem jurídica, a possibilidade de utilização de importante instrumento processual — a ação civil pública — capaz de garantir a efetividade de direitos fundamentais de pobres e ricos a partir de iniciativa processual da Defensoria Pública. Não se estaria a afirmar a desnecessidade de a Defensoria Pública observar o preceito do art. 5º, LXXIV, da CF, reiterado no art. 134 — antes e depois da EC 80/2014. No exercício de sua atribuição constitucional, seria necessário averiguar a compatibilidade dos interesses e direitos que a instituição protege com os possíveis beneficiários de quaisquer das ações ajuizadas, mesmo em ação civil pública. Condicionar a atuação da Defensoria Pública à comprovação prévia da pobreza do público-alvo diante de situação justificadora do ajuizamento de ação civil pública — conforme determina a Lei 7.347/1985 — não seria condizente com princípios e regras norteadores dessa instituição permanente e essencial à função jurisdicional do Estado, menos ainda com a norma do art. 3º da CF. Se não fosse suficiente a ausência de vedação constitucional da atuação da Defensoria Pública na tutela coletiva de direitos, inexistiria também, na Constituição, norma a assegurar exclusividade, em favor do Ministério Público, para o ajuizamento de ação civil </w:t>
      </w:r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lastRenderedPageBreak/>
        <w:t>pública. Por fim, a ausência de demonstração de conflitos de ordem objetiva decorrente da atuação dessas duas instituições igualmente essenciais à justiça — Defensoria Pública e Ministério Público — demonstraria inexistir prejuízo institucional para a segunda, menos ainda para os integrantes da Associação autora.</w:t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hyperlink r:id="rId7" w:history="1">
        <w:r w:rsidRPr="00A326BD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  <w:lang w:eastAsia="pt-BR"/>
          </w:rPr>
          <w:t xml:space="preserve">ADI 3943/DF, rel. Min. </w:t>
        </w:r>
        <w:proofErr w:type="spellStart"/>
        <w:r w:rsidRPr="00A326BD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  <w:lang w:eastAsia="pt-BR"/>
          </w:rPr>
          <w:t>Cármen</w:t>
        </w:r>
        <w:proofErr w:type="spellEnd"/>
        <w:r w:rsidRPr="00A326BD">
          <w:rPr>
            <w:rFonts w:ascii="Tahoma" w:eastAsia="Times New Roman" w:hAnsi="Tahoma" w:cs="Tahoma"/>
            <w:b/>
            <w:bCs/>
            <w:color w:val="007CC2"/>
            <w:sz w:val="17"/>
            <w:szCs w:val="17"/>
            <w:shd w:val="clear" w:color="auto" w:fill="FFFFFF"/>
            <w:lang w:eastAsia="pt-BR"/>
          </w:rPr>
          <w:t xml:space="preserve"> Lúcia, 6 e 7.5.2015. (ADI-3943)</w:t>
        </w:r>
      </w:hyperlink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color w:val="587E93"/>
          <w:sz w:val="17"/>
          <w:szCs w:val="17"/>
          <w:lang w:eastAsia="pt-BR"/>
        </w:rPr>
        <w:br/>
      </w:r>
      <w:r w:rsidRPr="00A326BD">
        <w:rPr>
          <w:rFonts w:ascii="Tahoma" w:eastAsia="Times New Roman" w:hAnsi="Tahoma" w:cs="Tahoma"/>
          <w:noProof/>
          <w:color w:val="007CC2"/>
          <w:sz w:val="17"/>
          <w:szCs w:val="17"/>
          <w:shd w:val="clear" w:color="auto" w:fill="FFFFFF"/>
          <w:lang w:eastAsia="pt-BR"/>
        </w:rPr>
        <w:drawing>
          <wp:inline distT="0" distB="0" distL="0" distR="0" wp14:anchorId="7D3469F5" wp14:editId="5ED1D503">
            <wp:extent cx="419100" cy="85725"/>
            <wp:effectExtent l="0" t="0" r="0" b="9525"/>
            <wp:docPr id="2" name="Imagem 2" descr="Audi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6BD">
        <w:rPr>
          <w:rFonts w:ascii="Tahoma" w:eastAsia="Times New Roman" w:hAnsi="Tahoma" w:cs="Tahoma"/>
          <w:color w:val="587E93"/>
          <w:sz w:val="17"/>
          <w:szCs w:val="17"/>
          <w:shd w:val="clear" w:color="auto" w:fill="FFFFFF"/>
          <w:lang w:eastAsia="pt-BR"/>
        </w:rPr>
        <w:t> </w:t>
      </w:r>
    </w:p>
    <w:sectPr w:rsidR="003D5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BD"/>
    <w:rsid w:val="003D5C2A"/>
    <w:rsid w:val="00A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EF17-7B8B-4D30-80B0-4C3EB24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justica.jus.br/radiojustica/exibirHome!downloadArquivo.action?downloadConteudo=291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f.jus.br/portal/processo/verProcessoAndamento.asp?numero=3943&amp;classe=ADI&amp;origem=AP&amp;recurso=0&amp;tipoJulgamento=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diojustica.jus.br/radiojustica/exibirHome!downloadArquivo.action?downloadConteudo=2909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f.jus.br/portal/processo/verProcessoAndamento.asp?numero=3943&amp;classe=ADI&amp;origem=AP&amp;recurso=0&amp;tipoJulgamento=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5692</Characters>
  <Application>Microsoft Office Word</Application>
  <DocSecurity>0</DocSecurity>
  <Lines>47</Lines>
  <Paragraphs>13</Paragraphs>
  <ScaleCrop>false</ScaleCrop>
  <Company>GRUPO IBMEC EDUCACIONAL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Gustavo Melo Franco Bahia</dc:creator>
  <cp:keywords/>
  <dc:description/>
  <cp:lastModifiedBy>Alexandre Gustavo Melo Franco Bahia</cp:lastModifiedBy>
  <cp:revision>1</cp:revision>
  <dcterms:created xsi:type="dcterms:W3CDTF">2015-05-20T13:35:00Z</dcterms:created>
  <dcterms:modified xsi:type="dcterms:W3CDTF">2015-05-20T13:36:00Z</dcterms:modified>
</cp:coreProperties>
</file>