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tabs>
          <w:tab w:val="left" w:pos="3217"/>
          <w:tab w:val="left" w:pos="691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ab/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CASO EDMUNDO CAMANA E OUTROS, POVOS PICHICHA E ORÍFUNA</w:t>
      </w: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CONTRA</w:t>
      </w: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SANTA CLARA</w:t>
      </w: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h.gjdgxs" w:colFirst="0" w:colLast="0"/>
      <w:bookmarkEnd w:id="1"/>
      <w:r w:rsidRPr="009A604C">
        <w:rPr>
          <w:rFonts w:ascii="Times New Roman" w:eastAsia="Times New Roman" w:hAnsi="Times New Roman" w:cs="Times New Roman"/>
          <w:sz w:val="24"/>
          <w:szCs w:val="24"/>
        </w:rPr>
        <w:t>ESTADO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LISTA DE ABREVIATURAS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Artigo(s) 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art. ou arts.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Assembleia do Povo Orífuna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APO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Assembleia do Povo Pichicha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APP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Clínica de Direitos Humanos da Universidade de Toronga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CDHUT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Comissão Interamericana de Direitos Humanos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Comissão ou CIDH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Confederação Madruguense de Trabalhadores Mineiros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CMTM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Convenção Americana sobre Direitos Humanos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Convenção ou CADH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Corte Europeia de Direitos Humanos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CtEDH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Corte Interamericana de Direitos Humanos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Corte, CtIDH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Corte Suprema de Justiça de Santa Clara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Corte Suprema ou CSJSC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Declaração das Nações Unidas sobre os Direitos dos Povos Indígenas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DNUDPI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Direitos econômicos, sociais e culturais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DESC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Estudo de Impacto Socioambiental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EISA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Lei de Jurisdição Extraterritorial por Corrupção e Tráfico de Pessoas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LJECTP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Monarquia Constitucional de Santa Clara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Santa Clara, Sta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 Clara ou Estado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Movimento Nacional contra a Impunidade em Madruga 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MNCIM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Organização das Nações Unidas para Alimentação e Agricultura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FAO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Organização das Nações Unidas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ONU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Organização dos Estados Americanos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OEA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Organização Internacional do Trabalho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OIT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Organização Mundial da Saúde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OMS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Página(s)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p. ou pp.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lastRenderedPageBreak/>
        <w:t>Parágrafo(s)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§ ou §§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Secretaria Federal de Abastecimento Hídrico de Santa Clara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SEFAH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Senhor(es) 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Sr. ou Srs. 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Sistema Interamericano de Direitos Humanos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SIDH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Tratado de Livre Comércio e Desenvolvimento da América do Norte 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TLCD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II. ÍNDICE</w:t>
      </w:r>
    </w:p>
    <w:p w:rsidR="009B571F" w:rsidRPr="009A604C" w:rsidRDefault="009B571F" w:rsidP="000B12C7">
      <w:pPr>
        <w:pStyle w:val="Normal2"/>
        <w:tabs>
          <w:tab w:val="left" w:pos="921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I. LISTA DE ABREVIATURAS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B571F" w:rsidRPr="009A604C" w:rsidRDefault="009B571F" w:rsidP="00DA4470">
      <w:pPr>
        <w:pStyle w:val="Normal2"/>
        <w:tabs>
          <w:tab w:val="right" w:pos="921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II. ÍNDICE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</w:r>
      <w:r w:rsidR="000B12C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III. ÍNDICE DE JUSTIFICATIVAS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.......4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 DOUTRINA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 JURISPRUDÊNCIA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 MISCELÂNEA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IV. DECLARAÇÃO DOS FATOS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V. ANÁLISE LEGAL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9B571F" w:rsidRPr="009A604C" w:rsidRDefault="009B571F" w:rsidP="000B12C7">
      <w:pPr>
        <w:pStyle w:val="Normal2"/>
        <w:tabs>
          <w:tab w:val="left" w:pos="5885"/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 DAS CONSIDERAÇÕES PRELIMINARES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............................................................................16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 DO MÉRITO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2.1 Da inocorrência de violação aos arts. 4, 5 e 17 da 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CADH em face da família Camana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2.2 Da inocorrência de violação ao art. 16 da CADH em face da família Camana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2.3 Da inocorrência de violação aos arts. 21 e 26 d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a CADH em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 xml:space="preserve"> face do Povo Pichicha.........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2.4 Da inocorrência de violação ao art. 5 da CADH em face do Povo Pichicha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2.5 Da inocorrência de violação aos arts. 8 e 25 da CADH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2.5.1 Da inocorrência de violação aos arts. 8 e 25 da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AD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H em face da família Camana....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2.5.2 Da inocorrência de violação aos arts. 8 e 25 d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a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 xml:space="preserve"> CAD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H em face do Povo Pichicha.....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36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2.5.3 Da inocorrência de violação aos arts. 8 e 25 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d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a CADH em face do Povo Orífuna..............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 DAS REPARAÇÕES E CUSTAS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9B571F" w:rsidRPr="009A604C" w:rsidRDefault="009B571F" w:rsidP="00614087">
      <w:pPr>
        <w:pStyle w:val="Normal2"/>
        <w:tabs>
          <w:tab w:val="right" w:pos="90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VI. SOLICITAÇÃO DE ASSISTÊNCIA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  <w:r w:rsidR="00E80B40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DA4470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0B12C7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III. ÍNDICE DE JUSTIFICATIVAS</w:t>
      </w:r>
    </w:p>
    <w:p w:rsidR="009B571F" w:rsidRPr="009A604C" w:rsidRDefault="009B571F" w:rsidP="00C0580B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9E0B9F">
        <w:rPr>
          <w:rFonts w:ascii="Times New Roman" w:eastAsia="Times New Roman" w:hAnsi="Times New Roman" w:cs="Times New Roman"/>
          <w:b/>
          <w:sz w:val="24"/>
          <w:szCs w:val="24"/>
        </w:rPr>
        <w:t xml:space="preserve">1 DOUTRINA: </w:t>
      </w:r>
      <w:r w:rsidR="00040803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040803" w:rsidRPr="009E0B9F">
        <w:rPr>
          <w:rFonts w:ascii="Times New Roman" w:hAnsi="Times New Roman" w:cs="Times New Roman"/>
          <w:color w:val="auto"/>
          <w:sz w:val="24"/>
          <w:szCs w:val="24"/>
        </w:rPr>
        <w:t xml:space="preserve">ANZILOTTI, Dionisio. </w:t>
      </w:r>
      <w:r w:rsidR="00040803" w:rsidRPr="009A604C">
        <w:rPr>
          <w:rFonts w:ascii="Times New Roman" w:hAnsi="Times New Roman" w:cs="Times New Roman"/>
          <w:i/>
          <w:color w:val="auto"/>
          <w:sz w:val="24"/>
          <w:szCs w:val="24"/>
          <w:lang w:val="fr-FR"/>
        </w:rPr>
        <w:t>Cours de Droit International</w:t>
      </w:r>
      <w:r w:rsidR="00040803" w:rsidRPr="009A604C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. </w:t>
      </w:r>
      <w:r w:rsidR="00040803" w:rsidRPr="00E2317F">
        <w:rPr>
          <w:rFonts w:ascii="Times New Roman" w:hAnsi="Times New Roman" w:cs="Times New Roman"/>
          <w:color w:val="auto"/>
          <w:sz w:val="24"/>
          <w:szCs w:val="24"/>
          <w:lang w:val="en-US"/>
        </w:rPr>
        <w:t>Paris: Sirey, 1929</w:t>
      </w:r>
      <w:r w:rsidR="00040803" w:rsidRPr="00E2317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(p. </w:t>
      </w:r>
      <w:r w:rsidR="00C0580B" w:rsidRPr="00E2317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22</w:t>
      </w:r>
      <w:r w:rsidR="00040803" w:rsidRPr="00E2317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)</w:t>
      </w:r>
      <w:r w:rsidR="00D42AB3" w:rsidRPr="00E2317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;</w:t>
      </w:r>
      <w:r w:rsidR="00040803" w:rsidRPr="00E2317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C3872" w:rsidRPr="009A604C">
        <w:rPr>
          <w:rFonts w:ascii="Times New Roman" w:hAnsi="Times New Roman" w:cs="Times New Roman"/>
          <w:color w:val="auto"/>
          <w:sz w:val="24"/>
          <w:szCs w:val="24"/>
          <w:lang w:val="en-US"/>
        </w:rPr>
        <w:sym w:font="Wingdings" w:char="F0A0"/>
      </w:r>
      <w:r w:rsidR="002C3872" w:rsidRPr="00E2317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BROWNLIE, Ian. </w:t>
      </w:r>
      <w:r w:rsidR="002C3872" w:rsidRPr="00E2317F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Princípios de direito internacional público</w:t>
      </w:r>
      <w:r w:rsidR="002C3872" w:rsidRPr="00E2317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Lisboa: Fundação </w:t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Calouste Gulbenkian, 1997</w:t>
      </w:r>
      <w:r w:rsidR="006236B8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(p. </w:t>
      </w:r>
      <w:r w:rsidR="006236B8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D42AB3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6236B8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CAMACHO VÁSQUEZ, Santiago J</w:t>
      </w:r>
      <w:r w:rsidR="002C3872" w:rsidRPr="00E2317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 La Responsabilidad Internacional de los Estados Derivada de la Conducta de Particulares o Non State Actors Conforme al Sistema Interamericano de Promoción e Protección de los Derechos Humanos</w:t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México, 2013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CANÇADO TRINDADE, Antônio Augusto.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</w:rPr>
        <w:t xml:space="preserve">Tratado de Direito Internacional dos Direitos Humanos,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volume II.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Porto Alegre: Sergio Antonio Fabris, 1999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32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C2075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CANOSA USERA, Raúl.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El derecho a la integridad personal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Edición. Valladolid: Lex Nova, 2006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DUE PROCESS OF LAW FUNDATION.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El derecho a la consulta previa, libre e informada de los pueblos indígenas: La situación de Bolivia, Colombia, Ecuador y Perú.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OXFAM: Washington D.C, 2003 (p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BE0C4E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>27, 38</w:t>
      </w:r>
      <w:r w:rsidR="006236B8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6236B8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GARCIA RAMÍREZ, Sergio.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La jurisdicción interamericana de derechos humanos (Estudios)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México: Corte Interamericana de Derechos Humanos, 2006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GUERRRA, Sidney. GUERRA, Sergio. </w:t>
      </w:r>
      <w:r w:rsidR="002C3872" w:rsidRPr="009E0B9F">
        <w:rPr>
          <w:rFonts w:ascii="Times New Roman" w:eastAsia="Times New Roman" w:hAnsi="Times New Roman" w:cs="Times New Roman"/>
          <w:i/>
          <w:sz w:val="24"/>
          <w:szCs w:val="24"/>
        </w:rPr>
        <w:t xml:space="preserve">Intervenção Estatal Ambiental. </w:t>
      </w:r>
      <w:r w:rsidR="002C3872" w:rsidRPr="009E0B9F">
        <w:rPr>
          <w:rFonts w:ascii="Times New Roman" w:eastAsia="Times New Roman" w:hAnsi="Times New Roman" w:cs="Times New Roman"/>
          <w:sz w:val="24"/>
          <w:szCs w:val="24"/>
        </w:rPr>
        <w:t xml:space="preserve">São Paulo: Atlas, 2012 (p. </w:t>
      </w:r>
      <w:r w:rsidR="006236B8" w:rsidRPr="009E0B9F">
        <w:rPr>
          <w:rFonts w:ascii="Times New Roman" w:eastAsia="Times New Roman" w:hAnsi="Times New Roman" w:cs="Times New Roman"/>
          <w:sz w:val="24"/>
          <w:szCs w:val="24"/>
        </w:rPr>
        <w:t>29</w:t>
      </w:r>
      <w:r w:rsidR="002C3872" w:rsidRPr="009E0B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2AB3" w:rsidRPr="009E0B9F">
        <w:rPr>
          <w:rFonts w:ascii="Times New Roman" w:eastAsia="Times New Roman" w:hAnsi="Times New Roman" w:cs="Times New Roman"/>
          <w:sz w:val="24"/>
          <w:szCs w:val="24"/>
        </w:rPr>
        <w:t>;</w:t>
      </w:r>
      <w:r w:rsidR="006236B8" w:rsidRPr="009E0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E0B9F">
        <w:rPr>
          <w:rFonts w:ascii="Times New Roman" w:eastAsia="Times New Roman" w:hAnsi="Times New Roman" w:cs="Times New Roman"/>
          <w:sz w:val="24"/>
          <w:szCs w:val="24"/>
        </w:rPr>
        <w:t xml:space="preserve">KISS, Alexandre.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rights and interests of future generations and the precautionary principle. In: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precautionary principle and international law: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challenge of implementation.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Hague: Kluwer Law International, 1996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29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MACKAY, Fergus.</w:t>
      </w:r>
      <w:r w:rsidR="00772DE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El Derecho de los Pueblos Indigenas al Consentimiento Libre, Previo e Informado y la Revisión de las Industrias Extractivas del Banco Mundial.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Forest People Programme, 2004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MAZZUOLI, Valerio de Oliveira.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</w:rPr>
        <w:t>Curso de Direito Internacional Público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. São Paulo: </w:t>
      </w:r>
      <w:r w:rsidR="00C20752" w:rsidRPr="009A604C">
        <w:rPr>
          <w:rFonts w:ascii="Times New Roman" w:eastAsia="Times New Roman" w:hAnsi="Times New Roman" w:cs="Times New Roman"/>
          <w:sz w:val="24"/>
          <w:szCs w:val="24"/>
        </w:rPr>
        <w:t xml:space="preserve">Revista dos Tribunais,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2014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</w:rPr>
        <w:t>35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MEDINA QUIROGA, Cecilia.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</w:rPr>
        <w:t>La Convención Americana: vida, integridad personal, libertad personal, debido proceso y recurso judicial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San José: Facultad de Derecho de Chile, 2003 (</w:t>
      </w:r>
      <w:r w:rsidR="00C2075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PASQUALUCCI, Jo M.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practice and procedure of the Inter-American Court of Human Rights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. University of South Dakota, School of Law. 2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Ed. New York: Cambridge University Press, 2013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040803" w:rsidRPr="009A604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040803" w:rsidRPr="009A604C">
        <w:rPr>
          <w:rFonts w:ascii="Times New Roman" w:hAnsi="Times New Roman" w:cs="Times New Roman"/>
          <w:color w:val="auto"/>
          <w:sz w:val="24"/>
          <w:szCs w:val="24"/>
          <w:lang w:val="en-US"/>
        </w:rPr>
        <w:sym w:font="Wingdings" w:char="F0A0"/>
      </w:r>
      <w:r w:rsidR="00040803" w:rsidRPr="009A604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PIGRAU, Antoni. </w:t>
      </w:r>
      <w:r w:rsidR="00040803" w:rsidRPr="009A604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The Interplay of National, Transnational and International Litigation for Environmental Justice: Seeking Effective Means of Redress for Grave Environmental Damage</w:t>
      </w:r>
      <w:r w:rsidR="00040803" w:rsidRPr="009A604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="00040803" w:rsidRPr="009A604C">
        <w:rPr>
          <w:rFonts w:ascii="Times New Roman" w:hAnsi="Times New Roman" w:cs="Times New Roman"/>
          <w:color w:val="auto"/>
          <w:sz w:val="24"/>
          <w:szCs w:val="24"/>
        </w:rPr>
        <w:t xml:space="preserve">ISEE Conference: Rio de Janeiro, 2012 </w:t>
      </w:r>
      <w:r w:rsidR="00040803" w:rsidRPr="009A604C">
        <w:rPr>
          <w:rFonts w:ascii="Times New Roman" w:eastAsia="Times New Roman" w:hAnsi="Times New Roman" w:cs="Times New Roman"/>
          <w:sz w:val="24"/>
          <w:szCs w:val="24"/>
        </w:rPr>
        <w:t xml:space="preserve">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40803" w:rsidRPr="009A60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</w:rPr>
        <w:t>;</w:t>
      </w:r>
      <w:r w:rsidR="00040803" w:rsidRPr="009A604C">
        <w:rPr>
          <w:rFonts w:ascii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hAnsi="Times New Roman" w:cs="Times New Roman"/>
          <w:sz w:val="24"/>
          <w:szCs w:val="24"/>
        </w:rPr>
        <w:t xml:space="preserve">RICARDO, David. </w:t>
      </w:r>
      <w:r w:rsidR="002C3872" w:rsidRPr="009A604C">
        <w:rPr>
          <w:rFonts w:ascii="Times New Roman" w:hAnsi="Times New Roman" w:cs="Times New Roman"/>
          <w:i/>
          <w:sz w:val="24"/>
          <w:szCs w:val="24"/>
        </w:rPr>
        <w:t>Princípios de Economia Política e Tributação</w:t>
      </w:r>
      <w:r w:rsidR="002C3872" w:rsidRPr="009A604C">
        <w:rPr>
          <w:rFonts w:ascii="Times New Roman" w:hAnsi="Times New Roman" w:cs="Times New Roman"/>
          <w:sz w:val="24"/>
          <w:szCs w:val="24"/>
        </w:rPr>
        <w:t>. São Paulo: Nova Cultural, 1996</w:t>
      </w:r>
      <w:r w:rsidR="00D42AB3" w:rsidRPr="009A604C">
        <w:rPr>
          <w:rFonts w:ascii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(p</w:t>
      </w:r>
      <w:r w:rsidR="002C3872" w:rsidRPr="00D072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2F23" w:rsidRPr="00D0724A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C3872" w:rsidRPr="00D0724A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2AB3" w:rsidRPr="00D0724A">
        <w:rPr>
          <w:rFonts w:ascii="Times New Roman" w:eastAsia="Times New Roman" w:hAnsi="Times New Roman" w:cs="Times New Roman"/>
          <w:sz w:val="24"/>
          <w:szCs w:val="24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SEN, Amartya.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</w:rPr>
        <w:t>Desenvolvimento como liberdade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São Paulo: Companhia das Letras, 2010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29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SHELTON, Dinah.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Remedies in International Human Rights Law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Oxford University Press, 2010 (p. </w:t>
      </w:r>
      <w:r w:rsidR="00062F23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>35</w:t>
      </w:r>
      <w:r w:rsidR="002C3872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2C3872" w:rsidRPr="00D0724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B571F" w:rsidRPr="009A604C" w:rsidRDefault="009B571F" w:rsidP="002C3872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2 JURISPRUDÊNCIA: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Decisión de la Comisión respecto a la admisibilidad [haitianos contra Estados Unidos]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Caso 10.675. Relatoría No. 28/93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16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Derecho de los Pueblos Indígenas y Tribales sobre sus tierras ancestrales y recursos naturales: normas y jurisprudencia del Sistema Interamericano de Derechos Humanos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20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09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38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;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Detenidos en Guántanamo Bay, Cuba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Solicitaciones de Medidas Cautelares. 2002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16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CIDH. Informe nº 38/99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. Petición Víctor Saldaño Argentina.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1999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16</w:t>
      </w:r>
      <w:r w:rsidR="00847A9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19 Comerciantes Vs. Colombia.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2004. Serie C No. 109 (p. 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23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6236B8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Acevedo Buendía y otros (“Cesantes y Jubilados de La Contraloría”) Vs. Perú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 2009. Serie C No. 198 (p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26, 30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;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D42AB3" w:rsidRPr="009A604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Caso Albán Cornejo e outros Vs. Ecuador.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2007. Serie C No. 171 (p. 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32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772DE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772DE3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772DE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772DE3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Caso Anzualdo Castro Vs. Perú.  </w:t>
      </w:r>
      <w:r w:rsidR="00772DE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2009. Serie C No. 202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(p. 20</w:t>
      </w:r>
      <w:r w:rsidR="00772DE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3506C2" w:rsidRPr="009A604C">
        <w:rPr>
          <w:rFonts w:ascii="Times New Roman" w:hAnsi="Times New Roman" w:cs="Times New Roman"/>
          <w:sz w:val="24"/>
          <w:szCs w:val="24"/>
          <w:lang w:val="es-ES"/>
        </w:rPr>
        <w:t xml:space="preserve">CtIDH. </w:t>
      </w:r>
      <w:r w:rsidR="003506C2" w:rsidRPr="009A604C">
        <w:rPr>
          <w:rFonts w:ascii="Times New Roman" w:hAnsi="Times New Roman" w:cs="Times New Roman"/>
          <w:i/>
          <w:sz w:val="24"/>
          <w:szCs w:val="24"/>
          <w:lang w:val="es-ES"/>
        </w:rPr>
        <w:t xml:space="preserve">Caso Apitz Barbera y otros Vs. Venezuela. </w:t>
      </w:r>
      <w:r w:rsidR="003506C2" w:rsidRPr="009A604C">
        <w:rPr>
          <w:rFonts w:ascii="Times New Roman" w:hAnsi="Times New Roman" w:cs="Times New Roman"/>
          <w:sz w:val="24"/>
          <w:szCs w:val="24"/>
          <w:lang w:val="es-ES"/>
        </w:rPr>
        <w:t xml:space="preserve">2008. Serie C No. 182 (p. </w:t>
      </w:r>
      <w:r w:rsidR="00062F23" w:rsidRPr="00D0724A">
        <w:rPr>
          <w:rFonts w:ascii="Times New Roman" w:hAnsi="Times New Roman" w:cs="Times New Roman"/>
          <w:sz w:val="24"/>
          <w:szCs w:val="24"/>
          <w:lang w:val="es-ES"/>
        </w:rPr>
        <w:t>38</w:t>
      </w:r>
      <w:r w:rsidR="003506C2" w:rsidRPr="00D0724A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3506C2" w:rsidRPr="009A604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06C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hAnsi="Times New Roman" w:cs="Times New Roman"/>
          <w:i/>
          <w:sz w:val="24"/>
          <w:szCs w:val="24"/>
          <w:lang w:val="es-ES"/>
        </w:rPr>
        <w:t>Caso Argüelles y otros Vs. Argentina</w:t>
      </w:r>
      <w:r w:rsidR="002C3872" w:rsidRPr="009A604C">
        <w:rPr>
          <w:rFonts w:ascii="Times New Roman" w:hAnsi="Times New Roman" w:cs="Times New Roman"/>
          <w:sz w:val="24"/>
          <w:szCs w:val="24"/>
          <w:lang w:val="es-ES"/>
        </w:rPr>
        <w:t>. 2014. Serie C No. 288</w:t>
      </w:r>
      <w:r w:rsidR="00B229A9" w:rsidRPr="009A604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(p</w:t>
      </w:r>
      <w:r w:rsidR="002C3872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0B336F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>33</w:t>
      </w:r>
      <w:r w:rsidR="002C3872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772DE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Artavia Murillo y otros (Fertilización in vitro) Vs. Costa Rica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 2012. Serie C No. 257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(p. 19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3506C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3506C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3506C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3506C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Caso Baena Ricardo y otros Vs. Panamá. </w:t>
      </w:r>
      <w:r w:rsidR="003506C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1999. Serie C No. 61 (p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3506C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24, 25, </w:t>
      </w:r>
      <w:r w:rsidR="000B336F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>33</w:t>
      </w:r>
      <w:r w:rsidR="00B229A9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3506C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Baldeón García Vs. Perú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 2006. Serie C No. 147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(p. 19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Bámaca Velasquez Vs. Guatemala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 2000. Serie C No. 221 (p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23, 24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Cantos Vs. Argentina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2001. Serie C No. 85 (p. 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16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Caso Cantos Vs. Argentina.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2002. Serie C No. 97 (p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32, </w:t>
      </w:r>
      <w:r w:rsidR="000B336F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>37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Castañeda Gutman Vs. México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2008. Serie C No.184 (p. 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18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B229A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Chitay Nech y otros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 2010. Serie C No. 212 (p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22, 24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Cinco Pensionistas Vs. Perú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2003. Serie C No. 98 (p. 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30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Comunidad Indígena Sawhoyamaxa Vs. Paraguay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2006. Serie C No. 146 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(pp. 20, 22, 26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772DE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D42AB3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Comunidad Indígena Xákmok Kásek Vs. Paraguay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 2010. Serie C No. 214 (p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26, 31, 33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Comunidad Indígena Yakey Axa Vs. Paraguay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 2005. Serie C No. 125 (p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27, 28, 31, 38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de la Comunidad Moiwana vs. Surinam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 2006, Serie C No 145 (p</w:t>
      </w:r>
      <w:r w:rsidR="004A3A5D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31, 40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3506C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3506C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3506C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3506C2" w:rsidRPr="009A604C">
        <w:rPr>
          <w:rFonts w:ascii="Times New Roman" w:hAnsi="Times New Roman" w:cs="Times New Roman"/>
          <w:i/>
          <w:sz w:val="24"/>
          <w:szCs w:val="24"/>
          <w:lang w:val="es-ES"/>
        </w:rPr>
        <w:t>Caso del Penal Miguel Castro Vs. Perú</w:t>
      </w:r>
      <w:r w:rsidR="003506C2" w:rsidRPr="009A604C">
        <w:rPr>
          <w:rFonts w:ascii="Times New Roman" w:hAnsi="Times New Roman" w:cs="Times New Roman"/>
          <w:sz w:val="24"/>
          <w:szCs w:val="24"/>
          <w:lang w:val="es-ES"/>
        </w:rPr>
        <w:t>. 2006. Serie C No. 160</w:t>
      </w:r>
      <w:r w:rsidR="003506C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(p. 23)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; </w:t>
      </w:r>
      <w:r w:rsidR="00D42AB3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del Pueblo Saramaka Vs. Surinam. 2007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 Serie C No. 172 (p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26, 27, 28, 30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Caso Escher y otros Vs. Brasil.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2009. Serie C No. 200 (p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24, 32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Familia Pacheco Tineo Vs. Bolivia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 2013. Serie C No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272 (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17, </w:t>
      </w:r>
      <w:r w:rsidR="006B7EC8" w:rsidRPr="00D0724A">
        <w:rPr>
          <w:rFonts w:ascii="Times New Roman" w:eastAsia="Times New Roman" w:hAnsi="Times New Roman" w:cs="Times New Roman"/>
          <w:sz w:val="24"/>
          <w:szCs w:val="24"/>
          <w:lang w:val="es-ES"/>
        </w:rPr>
        <w:t>34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Fermín Ramírez Vs. Guatemala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2005. Serie C No. 126 (p.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24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Caso Fleury y otros Vs.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</w:rPr>
        <w:t xml:space="preserve">Haití.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2011. Serie C No. 236 (p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</w:rPr>
        <w:t>24, 25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</w:rPr>
        <w:t xml:space="preserve">Caso Fontevecchia e D’Amico Vs. Argentina.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2011. Serie C No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 238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(p.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</w:rPr>
        <w:t>40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</w:rPr>
        <w:t xml:space="preserve">Caso Godínez Cruz Vs. Honduras.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1989. Serie C No. 5 (p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</w:rPr>
        <w:t>33, 37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</w:rPr>
        <w:t xml:space="preserve">Caso Gomes Lund y Otros (“Guerrilha do Araguaia”) Vs. </w:t>
      </w:r>
      <w:r w:rsidR="002C3872" w:rsidRPr="00E2317F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Brasil.</w:t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2010.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Serie C No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219 (p.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37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González y otras ("Campo Algodonero") Vs. México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Voto concurrente del Juez Diego García-Sayan. Serie C No. 205 (p.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19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González y otras (“Campo Algodonero”) Vs. México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2009. Serie C No 205 (p.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19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Huilca Tecse Vs. Perú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. 2005. Serie C No. 121 (p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24, 25, 40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9A604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Ivcher Bronstein Vs. Perú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1999. Serie C No. 54 (p. 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32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75665C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La Cantuta Vs. Perú.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2006. Serie C No. 162 (p. </w:t>
      </w:r>
      <w:r w:rsidR="001C6ED7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22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Loayza Tamayo Vs. Perú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1997. Serie C No. 33 (p. </w:t>
      </w:r>
      <w:r w:rsidR="001C6ED7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22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Manuel Cepeda Vargas Vs. Colombia.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2010. Serie C No. 213 (p. </w:t>
      </w:r>
      <w:r w:rsidR="001C6ED7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34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Masacre del Pueblo Bello Vs. Colombia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2006. Serie C No. 140 (p. </w:t>
      </w:r>
      <w:r w:rsidR="001C6ED7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20</w:t>
      </w:r>
      <w:r w:rsidR="002C3872" w:rsidRPr="00BC62CB"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t>)</w:t>
      </w:r>
      <w:r w:rsidR="00D42AB3" w:rsidRPr="00BC62CB"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t>;</w:t>
      </w:r>
      <w:r w:rsidR="00040803" w:rsidRPr="00BC62CB"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t xml:space="preserve"> </w:t>
      </w:r>
      <w:r w:rsidR="00040803" w:rsidRPr="00BC62CB">
        <w:rPr>
          <w:rFonts w:ascii="Times New Roman" w:hAnsi="Times New Roman" w:cs="Times New Roman"/>
          <w:color w:val="auto"/>
          <w:sz w:val="24"/>
          <w:szCs w:val="24"/>
          <w:lang w:val="en-US"/>
        </w:rPr>
        <w:sym w:font="Wingdings" w:char="F0A0"/>
      </w:r>
      <w:r w:rsidR="00040803" w:rsidRPr="00BC62CB"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t xml:space="preserve">CtIDH. </w:t>
      </w:r>
      <w:r w:rsidR="00040803" w:rsidRPr="00BC62C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s-ES"/>
        </w:rPr>
        <w:t>Caso de los "Niños de la Calle" (Villagrán Morales y otros) Vs. Guatemala.</w:t>
      </w:r>
      <w:r w:rsidR="00040803" w:rsidRPr="00BC62CB"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t xml:space="preserve"> 1999. Serie C No. 63 (p. </w:t>
      </w:r>
      <w:r w:rsidR="001C6ED7" w:rsidRPr="00BC62CB"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t>24</w:t>
      </w:r>
      <w:r w:rsidR="00040803" w:rsidRPr="00BC62CB"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t>)</w:t>
      </w:r>
      <w:r w:rsidR="00D42AB3" w:rsidRPr="00BC62CB"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t>;</w:t>
      </w:r>
      <w:r w:rsidR="00040803" w:rsidRPr="009A604C"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t xml:space="preserve"> </w:t>
      </w:r>
      <w:r w:rsidR="002C3872" w:rsidRPr="00E80B40">
        <w:rPr>
          <w:rFonts w:ascii="Times New Roman" w:hAnsi="Times New Roman" w:cs="Times New Roman"/>
          <w:color w:val="auto"/>
          <w:sz w:val="24"/>
          <w:szCs w:val="24"/>
          <w:lang w:val="en-US"/>
        </w:rPr>
        <w:sym w:font="Wingdings" w:char="F0A0"/>
      </w:r>
      <w:r w:rsidR="002C3872" w:rsidRPr="00E80B40"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t xml:space="preserve">CtIDH. </w:t>
      </w:r>
      <w:r w:rsidR="002C3872" w:rsidRPr="00E80B4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s-ES"/>
        </w:rPr>
        <w:t>Caso</w:t>
      </w:r>
      <w:r w:rsidR="002C3872" w:rsidRPr="00E80B4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Norín Catrimán y otros (Dirigentes, miembros y activista del Pueblo Indígena Mapuche) Vs. Chile</w:t>
      </w:r>
      <w:r w:rsidR="002C3872" w:rsidRPr="00E80B40">
        <w:rPr>
          <w:rFonts w:ascii="Times New Roman" w:eastAsia="Times New Roman" w:hAnsi="Times New Roman" w:cs="Times New Roman"/>
          <w:sz w:val="24"/>
          <w:szCs w:val="24"/>
          <w:lang w:val="es-ES"/>
        </w:rPr>
        <w:t>. 2014. Serie C No. 279</w:t>
      </w:r>
      <w:r w:rsidR="001C6ED7" w:rsidRPr="00E80B4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E80B40" w:rsidRPr="00E80B40">
        <w:rPr>
          <w:rFonts w:ascii="Times New Roman" w:eastAsia="Times New Roman" w:hAnsi="Times New Roman" w:cs="Times New Roman"/>
          <w:sz w:val="24"/>
          <w:szCs w:val="24"/>
          <w:lang w:val="es-ES"/>
        </w:rPr>
        <w:t>(p. 2</w:t>
      </w:r>
      <w:r w:rsidR="001C6ED7" w:rsidRPr="00E80B40">
        <w:rPr>
          <w:rFonts w:ascii="Times New Roman" w:eastAsia="Times New Roman" w:hAnsi="Times New Roman" w:cs="Times New Roman"/>
          <w:sz w:val="24"/>
          <w:szCs w:val="24"/>
          <w:lang w:val="es-ES"/>
        </w:rPr>
        <w:t>4</w:t>
      </w:r>
      <w:r w:rsidR="002C3872" w:rsidRPr="00E80B40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D42AB3" w:rsidRPr="00E80B40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75665C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Caso Pueblo Indígena Kichwa de Sarayaku Vs. Ecuador. 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2012. Serie C No 245 (p</w:t>
      </w:r>
      <w:r w:rsidR="001C6ED7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26, 38, 39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E80B40">
        <w:rPr>
          <w:rFonts w:ascii="Times New Roman" w:eastAsia="Times New Roman" w:hAnsi="Times New Roman" w:cs="Times New Roman"/>
          <w:sz w:val="24"/>
          <w:szCs w:val="24"/>
          <w:lang w:val="es-ES"/>
        </w:rPr>
        <w:t>CtIDH.</w:t>
      </w:r>
      <w:r w:rsidR="00424843" w:rsidRPr="00E80B4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E80B40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Radilla Pacheco Vs. México</w:t>
      </w:r>
      <w:r w:rsidR="00E80B40" w:rsidRPr="00E80B40">
        <w:rPr>
          <w:rFonts w:ascii="Times New Roman" w:eastAsia="Times New Roman" w:hAnsi="Times New Roman" w:cs="Times New Roman"/>
          <w:sz w:val="24"/>
          <w:szCs w:val="24"/>
          <w:lang w:val="es-ES"/>
        </w:rPr>
        <w:t>. 2009. Serie C No 209 (p. 40</w:t>
      </w:r>
      <w:r w:rsidR="002C3872" w:rsidRPr="00E80B40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E80B40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8F0C4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Ricardo Canese Vs. Paraguay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. 2014. Serie C No. 111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(p. 27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Salvador Chiriboga Vs. Ecuador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2008. Serie C No. 179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26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Tibi Vs. Ecuador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. 2004. Serie C No. 144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(p. 23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8F0C4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E4624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Caso Velásquez Rodríguez Vs Honduras. </w:t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1987. Serie C No.</w:t>
      </w:r>
      <w:r w:rsidR="002F43CB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 (p. </w:t>
      </w:r>
      <w:r w:rsidR="002F43CB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18</w:t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E4624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E4624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Velásquez Rodriguez Vs. Honduras</w:t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. 1988. Serie C No. 4 (</w:t>
      </w:r>
      <w:r w:rsidR="002F43CB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p. </w:t>
      </w:r>
      <w:r w:rsidR="002F43CB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21, 22</w:t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8F0C49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Caso Vélez Loor Vs. Panamá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2010. Serie C No. 218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28, 32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</w:t>
      </w:r>
      <w:r w:rsidR="002C3872" w:rsidRPr="00E4624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Caso Ximenes Lopes Vs. Brasil. </w:t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2006. Serie C No.</w:t>
      </w:r>
      <w:r w:rsidR="002F43CB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149 (p</w:t>
      </w:r>
      <w:r w:rsidR="002F43CB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E4624B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17, 19, 21, 22, 40</w:t>
      </w:r>
      <w:r w:rsidR="002C3872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E4624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CtIDH. Opinión Consultiva.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Control de legalidad en el ejercicio de las atribuciones de la CIDH (arts. 41</w:t>
      </w:r>
      <w:r w:rsidR="008F0C49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y 44 a 51 de la CADH). 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Serie A No. 19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18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CtIDH. Opinión Consultiva.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Derechos y garantías de niñas y niños en el contexto de la migración y/o en necesidad de protección internacional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Serie A No. 21 (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pp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16, 17, 23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CtEDH.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Case of Cyprus Vs. Turkey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Application No. 25781/94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CtEDH.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Case of Loizidou Vs. Turkey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Preliminary Objection. No.310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CtEDH.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Case of Osman Vs .The United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Kingdom. Application 87/1997/871/1083. 1990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CtEDH.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Case of Selmouni vs. France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.Application Nº 25803/94. 1999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22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CtEDH.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Case Olsson Vs. Sweden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Application No. 10465/83. 1988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24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CtEDH.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Case Sociedad Anónima del Ucieza Vs.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Spain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Application No. 38963/08. 2014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26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CtEDH.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Ireland Vs. United Kingdom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Application No. 5310/71. 1978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INTERNATIONAL COURT OF JUSTICE.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Aegean Sea Continental Shelf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. Judgment. Reports 1978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(p. 18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INTERNATIONAL COURT OF JUSTICE. </w:t>
      </w:r>
      <w:r w:rsidR="002C3872" w:rsidRPr="00EB6C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Case Factory at Chorzów.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1927. Series A No 9 (p. </w:t>
      </w:r>
      <w:r w:rsidR="00EB6CAC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40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IRAN-UNITED STATES CLAIMS TRIBUNAL.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Case Phillips Petroleum Co. Iran Vs. </w:t>
      </w:r>
      <w:r w:rsidR="002C3872" w:rsidRPr="00E2317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Iran</w:t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1989 (p. </w:t>
      </w:r>
      <w:r w:rsidR="002F43CB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TRIBUNAL PENAL INTERNACIONAL PARA A ANTIGA IUGUSLÁVIA. </w:t>
      </w:r>
      <w:r w:rsidR="002C3872" w:rsidRPr="00E2317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Case See Prosecutor Vs.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Zeinil</w:t>
      </w:r>
      <w:r w:rsidR="00424843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Delalic et. Al (The Celebici Case)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C3872" w:rsidRPr="009E0B9F">
        <w:rPr>
          <w:rFonts w:ascii="Times New Roman" w:eastAsia="Times New Roman" w:hAnsi="Times New Roman" w:cs="Times New Roman"/>
          <w:sz w:val="24"/>
          <w:szCs w:val="24"/>
          <w:lang w:val="en-US"/>
        </w:rPr>
        <w:t>No. IT-96-21-T. Judgmentof 11/19/98</w:t>
      </w:r>
      <w:r w:rsidR="002F43CB" w:rsidRPr="009E0B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(p. 23</w:t>
      </w:r>
      <w:r w:rsidR="002C3872" w:rsidRPr="009E0B9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9E0B9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9E0B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E0B9F">
        <w:rPr>
          <w:rFonts w:ascii="Times New Roman" w:hAnsi="Times New Roman" w:cs="Times New Roman"/>
          <w:sz w:val="24"/>
          <w:szCs w:val="24"/>
          <w:lang w:val="en-US"/>
        </w:rPr>
        <w:t>CORTE SUPREMA DE JUSTICIA DE COSTA RICA. Sala Constitucional de la Corte Suprema. Sentencia 8666-02. 6/09/2002</w:t>
      </w:r>
      <w:r w:rsidR="002C3872" w:rsidRPr="009E0B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(p. </w:t>
      </w:r>
      <w:r w:rsidR="002F43CB" w:rsidRPr="009E0B9F">
        <w:rPr>
          <w:rFonts w:ascii="Times New Roman" w:eastAsia="Times New Roman" w:hAnsi="Times New Roman" w:cs="Times New Roman"/>
          <w:sz w:val="24"/>
          <w:szCs w:val="24"/>
          <w:lang w:val="en-US"/>
        </w:rPr>
        <w:t>34</w:t>
      </w:r>
      <w:r w:rsidR="002C3872" w:rsidRPr="009E0B9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9E0B9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9E0B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9E0B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SOUTH AFRICA CONSTITUCIONAL COURT. </w:t>
      </w:r>
      <w:r w:rsidR="002C3872" w:rsidRPr="009E0B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Case Lindiwe Mazibuko, Grace Munyai, Jennifer Makoatsane, Sophia Malekutu, Vusimuzi Paki Vs.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City of Johannesburg, Johannesburg Water (PTY) LTD, The Minister of Water Affairs and Forestry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Case CCT 39/09. Judgment of 10/08/09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27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SUPREMA CORTE DE LA NACIÓN ARGENTINA.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Fallo Menores Comunidad Paynemil s/accion de amparo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Expte. 311-CA-1997. 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</w:rPr>
        <w:t xml:space="preserve">Sala II. Cámara de Apelaciones en lo Civil, Neuquen, 19/05/97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hAnsi="Times New Roman" w:cs="Times New Roman"/>
          <w:sz w:val="24"/>
          <w:szCs w:val="24"/>
        </w:rPr>
        <w:t xml:space="preserve">SUPREMO TRIBUNAL FEDERAL DA REPÚBLICA FEDERATIVA DO BRASIL. Habeas Corpus 83.113- Questão de Ordem. </w:t>
      </w:r>
      <w:r w:rsidR="002C3872" w:rsidRPr="00BC62CB">
        <w:rPr>
          <w:rFonts w:ascii="Times New Roman" w:hAnsi="Times New Roman" w:cs="Times New Roman"/>
          <w:sz w:val="24"/>
          <w:szCs w:val="24"/>
          <w:lang w:val="es-ES"/>
        </w:rPr>
        <w:t>Relator Ministro Celso de Mello. 26/06/03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(p. 34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040803" w:rsidRPr="009A604C" w:rsidRDefault="009B571F" w:rsidP="00040803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3 MISCELÂNEA: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BE5135">
        <w:rPr>
          <w:rFonts w:ascii="Times New Roman" w:eastAsia="Times New Roman" w:hAnsi="Times New Roman" w:cs="Times New Roman"/>
          <w:sz w:val="24"/>
          <w:szCs w:val="24"/>
          <w:lang w:val="es-ES"/>
        </w:rPr>
        <w:t>COMISIÓN INTERNACIONAL DE JURIS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TAS. </w:t>
      </w:r>
      <w:r w:rsidR="002C3872" w:rsidRPr="00EB6C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Impunidad y Graves Violaciones de Derechos Humanos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Ginebra: ICJ, 2008 (p. </w:t>
      </w:r>
      <w:r w:rsidR="002F43CB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3</w:t>
      </w:r>
      <w:r w:rsidR="00EB6CAC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5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FAO.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Política de la FAO sobre pueblos indígenas y tribales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Marzo de 2015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(p. 28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FAO. </w:t>
      </w:r>
      <w:r w:rsidR="002C3872" w:rsidRPr="00EB6C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World Water Development Report 2003</w:t>
      </w:r>
      <w:r w:rsidR="002F43CB" w:rsidRPr="00EB6C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(p. </w:t>
      </w:r>
      <w:r w:rsidR="00EB6CAC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28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OEA.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Situación de los derechos humanos de las personas afectadas por la minería en las Américas y responsabilidad de los Estados huéspedes y de origen de las empresas.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Audiencia pública realizada en el 149° periodo de sesiones de la CIDH. Washington, D.C., 2013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(p. 17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BC62CB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OMS.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El Derecho al Agua. 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Folleto Informativo nº 35 (p. </w:t>
      </w:r>
      <w:r w:rsidR="002F43CB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28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BC62CB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8F0C49" w:rsidRPr="009A604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OMS.</w:t>
      </w:r>
      <w:r w:rsidR="00040803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EB6C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Informe sobre la Evaluación Mundial del Abastecimiento de Agua y el Saneamiento en 2000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(p. </w:t>
      </w:r>
      <w:r w:rsidR="00EB6CAC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28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2F43CB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EB6CA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OMS. </w:t>
      </w:r>
      <w:r w:rsidR="002C3872" w:rsidRPr="00EB6C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PHAST Step-by-Step guide: a participatory approach for the control of diarrheal disease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Ginebra, 1999 (p. </w:t>
      </w:r>
      <w:r w:rsidR="00EB6CAC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28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ONU. Asamblea General. Consejo de Derechos Humanos. </w:t>
      </w:r>
      <w:r w:rsidR="002C3872" w:rsidRPr="00EB6C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Informe del Relator sobre los derechos de los pueblos indígenas: las industrias extractivas y los pueblos indígenas. 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1/07/13. A/HRC/24/41 (p. </w:t>
      </w:r>
      <w:r w:rsidR="001C6ED7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="00EB6CAC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7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r w:rsidR="008F0C49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="001C6ED7" w:rsidRPr="009A60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ONU. Comité de DESC. </w:t>
      </w:r>
      <w:r w:rsidR="002C3872" w:rsidRPr="00EB6C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Observación General No 15. el derecho al agua (artículos 11 y 12 del Pacto Internacional de DESC).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E/C.12/2002/11. </w:t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20/01/03 (p</w:t>
      </w:r>
      <w:r w:rsidR="001C6ED7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C6ED7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27, 28</w:t>
      </w:r>
      <w:r w:rsidR="002C3872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1C6ED7" w:rsidRPr="00E231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E5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ONU. 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Committee on DESC. </w:t>
      </w:r>
      <w:r w:rsidR="002C3872" w:rsidRPr="00EB6CA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General comment No. 3 (1990), on the nature of States parties’ obligations</w:t>
      </w:r>
      <w:r w:rsidR="001C6ED7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(p. 28</w:t>
      </w:r>
      <w:r w:rsidR="009A604C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, 29</w:t>
      </w:r>
      <w:r w:rsidR="001C6ED7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2C3872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0C49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ONU.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Eliminating discrimination and inequalities in Access to water and sanitation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2015 (p. </w:t>
      </w:r>
      <w:r w:rsidR="001C6ED7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28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BC62CB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BC62CB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77E8" w:rsidRPr="009A604C">
        <w:rPr>
          <w:rFonts w:ascii="Times New Roman" w:hAnsi="Times New Roman" w:cs="Times New Roman"/>
          <w:color w:val="auto"/>
          <w:sz w:val="24"/>
          <w:szCs w:val="24"/>
          <w:lang w:val="en-US"/>
        </w:rPr>
        <w:sym w:font="Wingdings" w:char="F0A0"/>
      </w:r>
      <w:r w:rsidR="00D077E8" w:rsidRPr="00EB6CA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ONU.</w:t>
      </w:r>
      <w:r w:rsidR="00D077E8" w:rsidRPr="00EB6CA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077E8" w:rsidRPr="00EB6CA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World economic and social survey 2005: financing for development</w:t>
      </w:r>
      <w:r w:rsidR="00D077E8" w:rsidRPr="00EB6CAC">
        <w:rPr>
          <w:rFonts w:ascii="Times New Roman" w:hAnsi="Times New Roman" w:cs="Times New Roman"/>
          <w:color w:val="auto"/>
          <w:sz w:val="24"/>
          <w:szCs w:val="24"/>
          <w:lang w:val="en-US"/>
        </w:rPr>
        <w:t>. New York: United Nations publication, 2005</w:t>
      </w:r>
      <w:r w:rsidR="00D077E8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(p. </w:t>
      </w:r>
      <w:r w:rsidR="00EB6CAC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  <w:r w:rsidR="00D077E8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F0C49" w:rsidRPr="00EB6CA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3872" w:rsidRPr="009A604C">
        <w:rPr>
          <w:rFonts w:ascii="Times New Roman" w:hAnsi="Times New Roman" w:cs="Times New Roman"/>
          <w:sz w:val="24"/>
          <w:szCs w:val="24"/>
          <w:lang w:val="en-US"/>
        </w:rPr>
        <w:sym w:font="Wingdings" w:char="F0A0"/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ONU. </w:t>
      </w:r>
      <w:r w:rsidR="002C3872" w:rsidRPr="00BC62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Working Group on Business and Human Rights. Guidance on National Action Plans on Business and Human Rights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C3872" w:rsidRPr="00BC62CB">
        <w:rPr>
          <w:rFonts w:ascii="Times New Roman" w:eastAsia="Times New Roman" w:hAnsi="Times New Roman" w:cs="Times New Roman"/>
          <w:sz w:val="24"/>
          <w:szCs w:val="24"/>
        </w:rPr>
        <w:t xml:space="preserve">Version 1.0 I December </w:t>
      </w:r>
      <w:r w:rsidR="002C3872" w:rsidRPr="00BC62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2014 (p. </w:t>
      </w:r>
      <w:r w:rsidR="001C6ED7" w:rsidRPr="00BC62CB">
        <w:rPr>
          <w:rFonts w:ascii="Times New Roman" w:eastAsia="Times New Roman" w:hAnsi="Times New Roman" w:cs="Times New Roman"/>
          <w:color w:val="auto"/>
          <w:sz w:val="24"/>
          <w:szCs w:val="24"/>
        </w:rPr>
        <w:t>29</w:t>
      </w:r>
      <w:r w:rsidR="002C3872" w:rsidRPr="00BC62CB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040803" w:rsidRPr="00BC62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  <w:r w:rsidR="00040803" w:rsidRPr="00BC62CB">
        <w:rPr>
          <w:rFonts w:ascii="Times New Roman" w:hAnsi="Times New Roman" w:cs="Times New Roman"/>
          <w:color w:val="auto"/>
          <w:sz w:val="24"/>
          <w:szCs w:val="24"/>
          <w:lang w:val="en-US"/>
        </w:rPr>
        <w:sym w:font="Wingdings" w:char="F0A0"/>
      </w:r>
      <w:r w:rsidR="00040803" w:rsidRPr="00BC62CB">
        <w:rPr>
          <w:rFonts w:ascii="Times New Roman" w:hAnsi="Times New Roman" w:cs="Times New Roman"/>
          <w:color w:val="auto"/>
          <w:sz w:val="24"/>
          <w:szCs w:val="24"/>
        </w:rPr>
        <w:t xml:space="preserve">ORGANIZAÇÃO PARA A COOPERAÇÃO E DESENVOLVIMENTO ECONÔMICO. </w:t>
      </w:r>
      <w:r w:rsidR="00040803" w:rsidRPr="00BC62CB">
        <w:rPr>
          <w:rFonts w:ascii="Times New Roman" w:hAnsi="Times New Roman" w:cs="Times New Roman"/>
          <w:i/>
          <w:color w:val="auto"/>
          <w:sz w:val="24"/>
          <w:szCs w:val="24"/>
          <w:bdr w:val="none" w:sz="0" w:space="0" w:color="auto" w:frame="1"/>
          <w:lang w:val="en-US"/>
        </w:rPr>
        <w:t>OCDE Transfer Pricing Guidelines for Multinational Enterprises and Tax Administrations</w:t>
      </w:r>
      <w:r w:rsidR="00040803" w:rsidRPr="00BC62CB">
        <w:rPr>
          <w:rStyle w:val="apple-converted-spac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t xml:space="preserve">. </w:t>
      </w:r>
      <w:r w:rsidR="00040803" w:rsidRPr="00BC62CB">
        <w:rPr>
          <w:rStyle w:val="apple-converted-spac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OCDE Publishing, 2010 </w:t>
      </w:r>
      <w:r w:rsidR="00040803" w:rsidRPr="00BC62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(p. </w:t>
      </w:r>
      <w:r w:rsidR="001C6ED7" w:rsidRPr="00BC62CB">
        <w:rPr>
          <w:rFonts w:ascii="Times New Roman" w:eastAsia="Times New Roman" w:hAnsi="Times New Roman" w:cs="Times New Roman"/>
          <w:color w:val="auto"/>
          <w:sz w:val="24"/>
          <w:szCs w:val="24"/>
        </w:rPr>
        <w:t>21</w:t>
      </w:r>
      <w:r w:rsidR="00040803" w:rsidRPr="00BC62CB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8F0C49" w:rsidRPr="00BC62C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B571F" w:rsidRPr="009A604C" w:rsidRDefault="009B571F" w:rsidP="00614087">
      <w:pPr>
        <w:pStyle w:val="Normal2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EXCELENTÍSSIMO SENHOR JUIZ PRESIDENTE DA HONORÁVEL CORTE INTERAMERICANA DE DIREITOS HUMANOS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01.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Em vista da apresentação do Caso Edmundo Camana e outros, Povos Pichicha e Orífuna contra Santa Clara a esta Honorável Corte, o Estado demandado submete o presente memorial, trazendo síntese dos fatos, considerações preliminares e mérito da causa, nos seguintes termos.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IV. DECLARAÇÃO DOS FATOS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02.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A Monarquia Constitucional de Santa Clara, Estado parlamentarista, é membro da OEA, ratificou a CADH e demais protocolos do SIDH, a DNUDPI, a Convenção 169 da OIT e reconheceu a competência jurisdicional desta Honorável Corte em 1980. Sta. Clara faz fronteira ao norte com a Confederação de Bristol e ao sul com a República de Madruga. Esses Estados assinaram, em 1992, o TLCD, que prevê um sistema arbitral para resolução de controvérsias. Sta. Clara e Madruga firmaram o Tratado Bilateral de Extradição, que veda investigações penais contra indivíduos investigados na outra jurisdição, e ratificaram as Convenções Interamericanas contra a Corrupção e contra o Terrorismo. 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03.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Dos povos indígenas originários de Sta. Clara, apenas o Povo Pichicha permanece definitivamente em seu território ancestral. Ao norte da República de Madruga vivem comunidades Orífunas - descendentes de escravos africanos e povos originários americanos - divididas em 25 ejidos, que utilizam o Rio Doce (que atravessa Madruga) para distintas atividades, como projetos de ecoturismo sob a sua administração. Conforme a legislação de Madruga, as decisões sobre direitos territoriais da Comunidade Orífuna são tomadas pelos ejidos; Segundo suas tradições, as decisões deve ser tomadas pela APO.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04.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Em 1929, a Lei de Nacionalização dos Recursos Naturais em Madruga estatizou investimentos extrativistas, que culminou </w:t>
      </w:r>
      <w:r w:rsidR="00A239C0" w:rsidRPr="009A604C">
        <w:rPr>
          <w:rFonts w:ascii="Times New Roman" w:eastAsia="Times New Roman" w:hAnsi="Times New Roman" w:cs="Times New Roman"/>
          <w:sz w:val="24"/>
          <w:szCs w:val="24"/>
        </w:rPr>
        <w:t>na formação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milícias por fazendeiros e empresários para proteger suas propriedades. De 1923 a 1940</w:t>
      </w:r>
      <w:r w:rsidR="00A239C0" w:rsidRPr="009A60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 vigeu em Sta. Clara a Lei de Segurança Hemisférica, que permitia a venda de armas e treinamento militar a movimentos de resistência no exterior, </w:t>
      </w:r>
      <w:r w:rsidR="004B7936" w:rsidRPr="009A604C">
        <w:rPr>
          <w:rFonts w:ascii="Times New Roman" w:eastAsia="Times New Roman" w:hAnsi="Times New Roman" w:cs="Times New Roman"/>
          <w:sz w:val="24"/>
          <w:szCs w:val="24"/>
        </w:rPr>
        <w:t>como milícias em Madruga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. Segundo a imprensa, entre 1940 e 1960, mineradoras de Sta. Clara teriam pago a esses grupos em troca de proteção a seus projetos em Madruga. Para organizações de direitos humanos, a ação das milícias teria causado a morte de líderes sociais na década de 1990. No ano de 1990, a Agência Internacional para o Desenvolvimento de Sta. Clara financiou o projeto de redação de lei de licenciamento ambiental e concessão mineira do Ministério de Minas e Energia de Madruga. No mesmo ano, Sta. Clara passou a oferecer empréstimos subsidiados a suas empresas no exterior, como a Miningcorp S.A. e a Silverfield S.A., via o Fundo Público de Investimento Estrangeiro.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Em 12/12/94, em um restaurante em Madruga, Edmundo Camana (presidente da CMTM), a esposa Teresa Osorio e dois filhos foram assassinados por homens encapuzados. A filha sobrevivente, Lucía, passou a viver como refugiada em Sta. Clara, regressando à Madruga em 1998 como porta-voz do MNCIM. Em 1999, a Procuradoria Geral de Madruga arquivou definitivamente suas investigações por apontar como únicos responsáveis pelos homicídios dois homens falecidos em 1995 em um confronto envolvendo o grupo miliciano Los Olivos.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06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A imprensa publicou, em 2001, documentos oficiais que indicavam que a filial da M</w:t>
      </w:r>
      <w:r w:rsidR="00217680" w:rsidRPr="009A604C">
        <w:rPr>
          <w:rFonts w:ascii="Times New Roman" w:eastAsia="Times New Roman" w:hAnsi="Times New Roman" w:cs="Times New Roman"/>
          <w:sz w:val="24"/>
          <w:szCs w:val="24"/>
        </w:rPr>
        <w:t>iningcorp em Madruga realizou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depósitos bancários, entre 1990 e 1998, a empresas de chefes do Los Olivos. À época, o diretor financeiro da Miningcorp era Elliot Klein, Primeiro Ministro de Sta. Clara, que renunciou em 2001. Após inquérito preliminar, o Ministério Público de Sta. Clara não apresentou denúncia contra o Sr. Klein ou ações</w:t>
      </w:r>
      <w:r w:rsidR="001939E0" w:rsidRPr="009A604C">
        <w:rPr>
          <w:rFonts w:ascii="Times New Roman" w:eastAsia="Times New Roman" w:hAnsi="Times New Roman" w:cs="Times New Roman"/>
          <w:sz w:val="24"/>
          <w:szCs w:val="24"/>
        </w:rPr>
        <w:t xml:space="preserve"> judiciais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contra a empresa para não comprometer a investigação em Madruga, onde instaurado inquérito para investigar o crime </w:t>
      </w:r>
      <w:r w:rsidR="006E7C48" w:rsidRPr="009A604C">
        <w:rPr>
          <w:rFonts w:ascii="Times New Roman" w:eastAsia="Times New Roman" w:hAnsi="Times New Roman" w:cs="Times New Roman"/>
          <w:sz w:val="24"/>
          <w:szCs w:val="24"/>
        </w:rPr>
        <w:t>de lavagem de ativos 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vistoria administrativa na Miningcorp pela Superintendência de Bancos e Seguros de Madruga. Os procedimentos foram arquivados: o primeiro, devido à prescrição (questionada por organizações de direitos humanos, que alegavam conluio entre a Procuradoria e mineradoras); e o segundo, após ser levada ao Painel Arbitral do TLCD demanda embasada na arbitrariedade da vistoria. A Miningcorp desistiu da demanda arbitral.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07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Em 10/12/02, ocorreu, em Madruga, a Marcha Nacional contra a Impunidade, onde Lucía Camana foi assassinada por um desconhecido enquanto discursava. Via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habeas data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, seus avós acessaram os autos da investigação do homicídio, em que havia um ofício do Cônsul de Sta. Clara à Procuradoria de Madruga, informando a impossibilidade de extradição de nacionais investigados devido à vedação constitucional. Os familiares de Lucía solicitaram à Procuradoria de Madruga, em 2006, a ampliação das investigações contra David Nelson - coronel do Exército de Sta. Clara e Adido Militar Adjunto na Embaixada em Madruga. </w:t>
      </w:r>
      <w:r w:rsidR="00325511" w:rsidRPr="009A604C">
        <w:rPr>
          <w:rFonts w:ascii="Times New Roman" w:eastAsia="Times New Roman" w:hAnsi="Times New Roman" w:cs="Times New Roman"/>
          <w:sz w:val="24"/>
          <w:szCs w:val="24"/>
        </w:rPr>
        <w:t>O pedido decorreu de publicaçãode telegramas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da Embaixada de Sta. Clara</w:t>
      </w:r>
      <w:r w:rsidR="00325511" w:rsidRPr="009A604C">
        <w:rPr>
          <w:rFonts w:ascii="Times New Roman" w:eastAsia="Times New Roman" w:hAnsi="Times New Roman" w:cs="Times New Roman"/>
          <w:sz w:val="24"/>
          <w:szCs w:val="24"/>
        </w:rPr>
        <w:t xml:space="preserve"> pela WikiLeaks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que indicavam: (i) a suspensão disciplinar do Adido por participar de reuniões com membros d</w:t>
      </w:r>
      <w:r w:rsidR="009C6F09" w:rsidRPr="009A604C">
        <w:rPr>
          <w:rFonts w:ascii="Times New Roman" w:eastAsia="Times New Roman" w:hAnsi="Times New Roman" w:cs="Times New Roman"/>
          <w:sz w:val="24"/>
          <w:szCs w:val="24"/>
        </w:rPr>
        <w:t>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Los Olivos em San Blas entre 2001 e 2003; e (ii) a existência de ata em que o Adido negou envolvimento ilícito e reconheceu o desvio de função. A solicitação foi rejeitada em 2007, pois o Sr. Nelson gozava de imunidade judicial diplomática não revogada por Sta. Clara. 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Insatisfeitos com as investigações em Madruga, os familiares de Lucía processaram civilmente a Miningcorp e apresentaram queixa-crime contra os Srs. Klein e Nelson em Sta. Clara, pelos homicídios e associação ilícita com milícias. As ações foram julgadas improcedentes pelos Juizados e Tribunais Cíveis, pois, embora ampliada a jurisdição extraterritorial em matéria civil pela LJECTP (1998) para abranger corrupção e tráfico de pessoas, o judiciário só tem competência extraterritorial em caso de genocídio, crimes de guerra ou contra a humanidade.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Em 03/09/10, a CSJSC indeferiu as ações penais, reiterando as razões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 xml:space="preserve">a quo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e acrescentou que, segundo o ofício Nº 001.2926, o judiciário de Madruga atribuiu a culpabilidade dos homicídios de 1992 exclusivamente a duas pessoas falecidas, de modo que indicações de responsabilidade penal dos Srs. Klein e Nelson não se sustentariam, e havia inquérito penal em curso sobre o homicídio de Lucía. Ademais, alegou que às partes era facultado acudir a instâncias supranacionais de direitos humanos se entendessem violadas as garantias judiciais nos inquéritos em Madruga, e que excedia a sua competência atuar como instância de alçada supranacional ou paralela às estrangeiras. Em relação à ação civil, revogou as decisões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a quo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 ordenou o prosseguimento do feito, aplicando sua jurisprudência de que delitos conexos (lavagem de ativos, suborno) habilitam a jurisdição extraterritorial de Sta. Clara quanto à responsabilidade civil. A ação foi arquivada em 10/09/10, após a Miningcorp indenizar os demandantes e reparar Sta. Clara pelas infrações ao sistema financeiro. Insatisfeitos com a improcedência das ações penais, os entes da família Camana peticionaram à CIDH.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</w:r>
      <w:r w:rsidR="00BE7397" w:rsidRPr="009A604C">
        <w:rPr>
          <w:rFonts w:ascii="Times New Roman" w:eastAsia="Times New Roman" w:hAnsi="Times New Roman" w:cs="Times New Roman"/>
          <w:sz w:val="24"/>
          <w:szCs w:val="24"/>
        </w:rPr>
        <w:t>No ano de 2007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a Secretaria de Minas e Energia de Sta. Clara publicizou o Projeto Wirikuya, que visa à extração de ouro e prata, em mina</w:t>
      </w:r>
      <w:r w:rsidR="004C6458" w:rsidRPr="009A604C">
        <w:rPr>
          <w:rFonts w:ascii="Times New Roman" w:eastAsia="Times New Roman" w:hAnsi="Times New Roman" w:cs="Times New Roman"/>
          <w:sz w:val="24"/>
          <w:szCs w:val="24"/>
        </w:rPr>
        <w:t xml:space="preserve">s próximas à bacia do Rio Doce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onde apresentava </w:t>
      </w:r>
      <w:r w:rsidR="004C6458" w:rsidRPr="009A604C">
        <w:rPr>
          <w:rFonts w:ascii="Times New Roman" w:eastAsia="Times New Roman" w:hAnsi="Times New Roman" w:cs="Times New Roman"/>
          <w:sz w:val="24"/>
          <w:szCs w:val="24"/>
        </w:rPr>
        <w:t>potencial impacto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Autoridades de ambos os Estados se reuniram para dialogar sobre o Projeto, quando apresentados estudos técnicos de Sta. Clara que apontavam a ausência de prejuízos em Madruga. Foi emitido o EISA, em janeiro de 2008, pela Secretaria de Meio Ambiente de Sta. Clara; em abril, a Subsecretaria de Inter-culturalidade emitiu relatório técnico, que apontava possíveis afetações nos territórios Pichicha e Orífuna. A empresa Silverfield S.A – vencedora da licitação - traduziu os estudos técnicos ao idioma Orífuna e publicou-os ao an</w:t>
      </w:r>
      <w:r w:rsidR="00BA7E13" w:rsidRPr="009A604C">
        <w:rPr>
          <w:rFonts w:ascii="Times New Roman" w:eastAsia="Times New Roman" w:hAnsi="Times New Roman" w:cs="Times New Roman"/>
          <w:sz w:val="24"/>
          <w:szCs w:val="24"/>
        </w:rPr>
        <w:t>unciar interesse em utilizar o p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orto de San Blas, na foz do Rio Doce.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A Subsecretaria de Inter-culturalidade realizou processo de consulta prévia, livre e informada, ao longo de 3 anos, com os líderes do Povo Pichicha. O EISA, o relatório técnico e as mais de cem reuniões foram traduzidas ao seu idioma. O primeiro ano de consulta consistiu na explanação (por engenheiros, geólogos, antropólogos, físicos, juristas) do projeto e seus impactos, o qual foi aceito em 2010 pela APP, que impôs diversas condições integralmente aceitas pelo Estado, como a extração subterrânea e proibição de acesso às adjacências do riacho Mandí, considerado sagrado pelo Povo. Em 2011</w:t>
      </w:r>
      <w:r w:rsidR="003662FF" w:rsidRPr="009A6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foi concedida a licença à empresa Silverfield.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Após o licenciamento, representantes da empresa dirigiram-se ao escritório da APO em Madruga para propor medidas compensatórias e pagamento pelo uso do porto de San Blas. A Presidente (Catalina Coral) negou-se a recebê-los e emitiu comunicado, manifestando descontentamento com o Projeto, os governos e a empresa, alegando que os Orífunas não foram consultados sobre o Projeto. A Silverfield visitou e organizou seminários em que participaram os presidentes de todos os ejidos e, entre março e maio de 2011, reuniu-se com 13 ejidos, quando anunciou a criação de fundo fiduci</w:t>
      </w:r>
      <w:r w:rsidR="00317477" w:rsidRPr="009A604C">
        <w:rPr>
          <w:rFonts w:ascii="Times New Roman" w:eastAsia="Times New Roman" w:hAnsi="Times New Roman" w:cs="Times New Roman"/>
          <w:sz w:val="24"/>
          <w:szCs w:val="24"/>
        </w:rPr>
        <w:t>ário para projetos em prol dos 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rífunas. Em julho, foi criada a Organização para o Desenvolvimento Orífuna, a fim de administrar um fundo para projetos financiados pela Silverfield, pela Agência Internacional de Desenvolvimento de Sta. Clara e pelo Banco Interamericano de Desenvolvimento. Os presidentes dos 13 ejidos assinaram ata acordando com</w:t>
      </w:r>
      <w:r w:rsidR="00AB19FD" w:rsidRPr="009A604C">
        <w:rPr>
          <w:rFonts w:ascii="Times New Roman" w:eastAsia="Times New Roman" w:hAnsi="Times New Roman" w:cs="Times New Roman"/>
          <w:sz w:val="24"/>
          <w:szCs w:val="24"/>
        </w:rPr>
        <w:t xml:space="preserve"> a utilização do Rio Doce e do p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orto de San Blas.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Catalina Coral interpôs, em 2011, mandado de segurança em Madruga, julgado improcedente por ilegitimidade ativa, requerendo consulta prévia para negociações que afetassem o território Orífuna. A CDHUT interpôs ação de nulidade nos tribunais de Sta. Clara, julgada improcedente e infundada, arguindo ineficácia da licença do projeto de Wirikuya.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Paralelamente, em Sta. Clara, no dia 15/05/11, rompeu-se uma pequena represa de contenção de detritos dos trabalhos da Silverfield, contaminando a lagoa da Pampulla, sem poluir a bacia do Rio Doce. O fato inviabilizou o uso da Lagoa para abastecer o Povo Pichicha e milhares de camponeses dos arredores. Assim, a SEFAH decretou sua imediata descontaminação e autorizou a captação provisória de água na área que incluía as adjacências do riacho Mandí. Frente à situação, Sta. Clara iniciou </w:t>
      </w:r>
      <w:r w:rsidR="0028736D" w:rsidRPr="009A604C">
        <w:rPr>
          <w:rFonts w:ascii="Times New Roman" w:eastAsia="Times New Roman" w:hAnsi="Times New Roman" w:cs="Times New Roman"/>
          <w:sz w:val="24"/>
          <w:szCs w:val="24"/>
        </w:rPr>
        <w:t>estudos técnicos periciais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para apurar eventual descumprimento dos requisitos estabelecidos na licença de construção da represa.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Ricardo Manuín, advogado e líder do Povo Pichicha, interpôs, em 15/06/11, recurso administrativo à SEFAH, alegando a impossibilidade de captação da água do Riacho. Em resposta, a SEFAH manifestou que, dada a situação emergencial, foi necessária a restrição excepcional e temporária dos direitos do Povo Pichicha sobre o Riacho, e que a captação de água de outro local levaria 5 dias adicionais, despendendo alto custo para a construção de tubulação que seria inútil após a descontaminação da Lagoa.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O Sr. Manuím impetrou, em 30/07/11, Mandado de Segurança (ação de amparo) em nome da APP pela suposta violação aos direitos da Comunidade pelo ingresso </w:t>
      </w:r>
      <w:r w:rsidR="00D57D30" w:rsidRPr="009A60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suas áreas sagradas. </w:t>
      </w:r>
      <w:r w:rsidR="00D57D30" w:rsidRPr="009A604C">
        <w:rPr>
          <w:rFonts w:ascii="Times New Roman" w:eastAsia="Times New Roman" w:hAnsi="Times New Roman" w:cs="Times New Roman"/>
          <w:sz w:val="24"/>
          <w:szCs w:val="24"/>
        </w:rPr>
        <w:t>Foi c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oncedida liminar em 10/08/11, para determinar a imediata evacu</w:t>
      </w:r>
      <w:r w:rsidR="00D57D30" w:rsidRPr="009A604C">
        <w:rPr>
          <w:rFonts w:ascii="Times New Roman" w:eastAsia="Times New Roman" w:hAnsi="Times New Roman" w:cs="Times New Roman"/>
          <w:sz w:val="24"/>
          <w:szCs w:val="24"/>
        </w:rPr>
        <w:t>ação da Defesa Civil do local, que restou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suspensa em 15/08/11, com a conclusão das obras de recuperação da Lagoa, arquivando-se o Mandado de Segurança por perda de objeto. Para impugnar a decisão, foi interposto agravo constitucional à CSJSC e recurso de apelação visando à indenização do Estado e da Silverfield por supostos danos irreparáveis a locais </w:t>
      </w:r>
      <w:r w:rsidR="00D57D30" w:rsidRPr="009A604C">
        <w:rPr>
          <w:rFonts w:ascii="Times New Roman" w:eastAsia="Times New Roman" w:hAnsi="Times New Roman" w:cs="Times New Roman"/>
          <w:sz w:val="24"/>
          <w:szCs w:val="24"/>
        </w:rPr>
        <w:t>sagrados, julgados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improcedentes, pois a via idônea para pretensões indenizatórias é o Processo Civil Ordinário.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Em 2012, o Sr. Manuín peticionou ao SIDH pela ofensa à CADH por suposta falta de proteção judicial e de violação ao direito de propriedade, à integridade cultural e ao direito à água do Povo Pichicha. No mesmo ano, a CDHUT apresentou petição contra Sta. Clara pelo suposto descumprimento da consulta prévia em relação ao Povo Orífuna. </w:t>
      </w:r>
    </w:p>
    <w:p w:rsidR="009B571F" w:rsidRPr="009A604C" w:rsidRDefault="00D87DB3" w:rsidP="00614087">
      <w:pPr>
        <w:pStyle w:val="Normal2"/>
        <w:spacing w:after="0" w:line="48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No Relatório de Admissibilidade Nº 20/14, a CIDH cumulou o caso da Família Camana, do Povo Pichicha e do Povo Orífuna. Sta. Clara arguiu exceção de incompetência territorial aos fatos havidos em Madruga. No Relatório de Mérito Nº 17/15, a CIDH concluiu pela responsabilidade de Sta. Clara pela suposta violação aos seguintes arts. da CADH: (i) 4, 5, 16, 17, 8 e 25 em face da família Camana e 5.1 em face de seus familiares; (ii) 5, 21, 26, 8 e 25, em face do Povo Pichicha; e (iii) 8 e 25 em face do Povo Orífuna. Notificado da decisão em 15/11/15, o Estado alegou a carência de fundamento</w:t>
      </w:r>
      <w:r w:rsidR="00CB221C">
        <w:rPr>
          <w:rFonts w:ascii="Times New Roman" w:eastAsia="Times New Roman" w:hAnsi="Times New Roman" w:cs="Times New Roman"/>
          <w:sz w:val="24"/>
          <w:szCs w:val="24"/>
        </w:rPr>
        <w:t xml:space="preserve"> legal, não adotando as recomen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dações. Em 05/12/15, a CIDH remeteu o caso a esta Honorável Corte, iniciando-se o procedimento.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V. ANÁLISE LEGAL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1 DAS CONSIDERAÇÕES PRELIMINARES</w:t>
      </w:r>
    </w:p>
    <w:p w:rsidR="009B571F" w:rsidRPr="009A604C" w:rsidRDefault="00D87DB3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Ressalte-se, primeiramente, que esta Honorável Corte não detém competência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ratione loci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 para julgar os fatos do caso 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sub judice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ocorridos fora da jurisdição de Sta. Clara. Entretanto, por se tratar de questão preliminar ainda não controvertida a esta Casa, o Estado reconhece a competência da mesma para conhecer da causa – de acordo com a regra da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compétence de la compétence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e então decidir sobre a preliminar arguida, conforme art. 62.3 da CADH.</w:t>
      </w:r>
    </w:p>
    <w:p w:rsidR="009B571F" w:rsidRPr="009A604C" w:rsidRDefault="00D87DB3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O art. 29 da Convenção de Viena sobre Direito dos Tratados prevê que um tratado - quando não há intenção diferente nele evidenciada - obriga as partes em relação ao seu território. Nesse sentido, o art. 1.1 da CADH dispõe que os Estados devem garantir e respeitar os direitos e liberdades dos indivíduos sob a sua jurisdição. Em escólio a essa previsão, Sta. Clara reconhece a particularidade dos tratados de direitos humanos que, pelo princípio da interpretação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pro homine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determinam que a jurisdição não se restringe ao território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9A604C">
        <w:rPr>
          <w:rFonts w:ascii="Times New Roman" w:eastAsia="Times New Roman" w:hAnsi="Times New Roman" w:cs="Times New Roman"/>
          <w:sz w:val="24"/>
          <w:szCs w:val="24"/>
        </w:rPr>
        <w:t>, de modo que</w:t>
      </w:r>
      <w:r w:rsidR="0076182D" w:rsidRPr="009A604C">
        <w:rPr>
          <w:rFonts w:ascii="Times New Roman" w:eastAsia="Times New Roman" w:hAnsi="Times New Roman" w:cs="Times New Roman"/>
          <w:sz w:val="24"/>
          <w:szCs w:val="24"/>
        </w:rPr>
        <w:t xml:space="preserve">, embora distintos, os termos “território” e “jurisdição”, </w:t>
      </w:r>
      <w:r w:rsidR="0076182D" w:rsidRPr="009A604C">
        <w:rPr>
          <w:rFonts w:ascii="Times New Roman" w:eastAsia="Times New Roman" w:hAnsi="Times New Roman" w:cs="Times New Roman"/>
          <w:i/>
          <w:sz w:val="24"/>
          <w:szCs w:val="24"/>
        </w:rPr>
        <w:t>in casu</w:t>
      </w:r>
      <w:r w:rsidR="0076182D" w:rsidRPr="009A604C">
        <w:rPr>
          <w:rFonts w:ascii="Times New Roman" w:eastAsia="Times New Roman" w:hAnsi="Times New Roman" w:cs="Times New Roman"/>
          <w:sz w:val="24"/>
          <w:szCs w:val="24"/>
        </w:rPr>
        <w:t>, convergem para a mesma conclusão: a incompetência deste Egrégio Tribunal para julgar fatos ocorridos fora do território de Sta. Clara.</w:t>
      </w:r>
    </w:p>
    <w:p w:rsidR="009B571F" w:rsidRPr="009A604C" w:rsidRDefault="00D87DB3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Como já definiu a CIDH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, o Estado 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só </w:t>
      </w:r>
      <w:r w:rsidR="001149BE" w:rsidRPr="009A604C">
        <w:rPr>
          <w:rFonts w:ascii="Times New Roman" w:eastAsia="Times New Roman" w:hAnsi="Times New Roman" w:cs="Times New Roman"/>
          <w:sz w:val="24"/>
          <w:szCs w:val="24"/>
        </w:rPr>
        <w:t xml:space="preserve">exerce jurisdição no exterior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quando: (i) as supostas vítimas forem submetidas à sua autoridade; (ii) os atos são cometidos por seus agentes em áreas efetivamente controladas por ele; ou (iii) se as ações ou omissões desses indivíduos ocorrem ou geram efeitos em país alienígena. Para a CtEDH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só há responsabilidade estatal por at</w:t>
      </w:r>
      <w:r w:rsidR="001149BE" w:rsidRPr="009A604C">
        <w:rPr>
          <w:rFonts w:ascii="Times New Roman" w:eastAsia="Times New Roman" w:hAnsi="Times New Roman" w:cs="Times New Roman"/>
          <w:sz w:val="24"/>
          <w:szCs w:val="24"/>
        </w:rPr>
        <w:t>os praticados em solo estrangeiro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, se houver controle efetivo do território, diretamente exercido via força armada ou de administração local subordinada. </w:t>
      </w:r>
    </w:p>
    <w:p w:rsidR="009B571F" w:rsidRPr="009A604C" w:rsidRDefault="00D87DB3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Ora, essa não é a hipótese desta contenda, pois Sta. Clara jamais teve controle militar ou administrativo da região. Além disso, suas ações e, quiçá, omissões não produziram efeitos previsíveis e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não</w:t>
      </w:r>
      <w:r w:rsidR="00AF3A20" w:rsidRPr="009A604C">
        <w:rPr>
          <w:rFonts w:ascii="Times New Roman" w:eastAsia="Times New Roman" w:hAnsi="Times New Roman" w:cs="Times New Roman"/>
          <w:sz w:val="24"/>
          <w:szCs w:val="24"/>
        </w:rPr>
        <w:t xml:space="preserve"> exerceu influência 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decisiva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="00AF3A20" w:rsidRPr="009A604C">
        <w:rPr>
          <w:rFonts w:ascii="Times New Roman" w:eastAsia="Times New Roman" w:hAnsi="Times New Roman" w:cs="Times New Roman"/>
          <w:sz w:val="24"/>
          <w:szCs w:val="24"/>
        </w:rPr>
        <w:t>adotou medidas para realizar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 xml:space="preserve"> direitos em Madruga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o que, a teor do Princípio 8 dos Princípios de Maastrich</w:t>
      </w:r>
      <w:r w:rsidR="004C3681">
        <w:rPr>
          <w:rFonts w:ascii="Times New Roman" w:eastAsia="Times New Roman" w:hAnsi="Times New Roman" w:cs="Times New Roman"/>
          <w:sz w:val="24"/>
          <w:szCs w:val="24"/>
        </w:rPr>
        <w:t>t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sobre as Obrigações Extraterritoriais dos Estados na Área dos DESC</w:t>
      </w:r>
      <w:r w:rsidR="009B571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poderia atrair a competência </w:t>
      </w:r>
      <w:r w:rsidR="009B571F" w:rsidRPr="009A60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ratione loci</w:t>
      </w:r>
      <w:r w:rsidR="003F64BC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. O</w:t>
      </w:r>
      <w:r w:rsidR="00075EB2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Fundo Público de Investimento Estrangeiro n</w:t>
      </w:r>
      <w:r w:rsidR="006D788E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ão assegura</w:t>
      </w:r>
      <w:r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3F64BC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tampouco concretiza os DESC, nem representa </w:t>
      </w:r>
      <w:r w:rsidR="006D788E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controle administrativo da região: trata-se </w:t>
      </w:r>
      <w:r w:rsidR="005B7D65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apenas</w:t>
      </w:r>
      <w:r w:rsidR="006D788E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mecanismo de fomento eco</w:t>
      </w:r>
      <w:r w:rsidR="009A2BF3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nômico, através de empréstimos (não de</w:t>
      </w:r>
      <w:r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investimento dire</w:t>
      </w:r>
      <w:r w:rsidR="006D788E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to</w:t>
      </w:r>
      <w:r w:rsidR="00E51338" w:rsidRPr="009A604C">
        <w:rPr>
          <w:rStyle w:val="Refdenotaderodap"/>
          <w:rFonts w:ascii="Times New Roman" w:eastAsia="Times New Roman" w:hAnsi="Times New Roman" w:cs="Times New Roman"/>
          <w:color w:val="auto"/>
          <w:sz w:val="24"/>
          <w:szCs w:val="24"/>
        </w:rPr>
        <w:footnoteReference w:id="5"/>
      </w:r>
      <w:r w:rsidR="009A2BF3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D00725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</w:t>
      </w:r>
      <w:r w:rsidR="006D788E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devem </w:t>
      </w:r>
      <w:r w:rsidR="009A2BF3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ser posteriormente pagos e</w:t>
      </w:r>
      <w:r w:rsidR="00E51338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D788E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podem ser fornecidos a quaisquer empresas.</w:t>
      </w:r>
    </w:p>
    <w:p w:rsidR="009B571F" w:rsidRPr="009A604C" w:rsidRDefault="006F0F7B" w:rsidP="00614087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bookmarkStart w:id="2" w:name="h.30j0zll" w:colFirst="0" w:colLast="0"/>
      <w:bookmarkEnd w:id="2"/>
      <w:r w:rsidRPr="009A604C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  <w:t>Ademais, quando Lucía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regressou espontaneamente à Madruga – </w:t>
      </w:r>
      <w:r w:rsidR="00057138" w:rsidRPr="009A604C">
        <w:rPr>
          <w:rFonts w:ascii="Times New Roman" w:eastAsia="Times New Roman" w:hAnsi="Times New Roman" w:cs="Times New Roman"/>
          <w:sz w:val="24"/>
          <w:szCs w:val="24"/>
        </w:rPr>
        <w:t>não confundida com 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devolução, vedada por 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- perdeu o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status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refugiada e a proteção dele decorrente, conforme art. 1.c.1 da Convenção da ONU Relativa ao Estatuto dos Refugiados de 1951 e seu respectivo Protocolo Adicional de 1967</w:t>
      </w:r>
      <w:r w:rsidR="00057138" w:rsidRPr="009A604C">
        <w:rPr>
          <w:rFonts w:ascii="Times New Roman" w:eastAsia="Times New Roman" w:hAnsi="Times New Roman" w:cs="Times New Roman"/>
          <w:sz w:val="24"/>
          <w:szCs w:val="24"/>
        </w:rPr>
        <w:t>, não mais havendo jurisdição de</w:t>
      </w:r>
      <w:r w:rsidR="002A2B10" w:rsidRPr="009A604C">
        <w:rPr>
          <w:rFonts w:ascii="Times New Roman" w:eastAsia="Times New Roman" w:hAnsi="Times New Roman" w:cs="Times New Roman"/>
          <w:sz w:val="24"/>
          <w:szCs w:val="24"/>
        </w:rPr>
        <w:t xml:space="preserve"> Sta</w:t>
      </w:r>
      <w:r w:rsidR="0076182D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2B10" w:rsidRPr="009A604C">
        <w:rPr>
          <w:rFonts w:ascii="Times New Roman" w:eastAsia="Times New Roman" w:hAnsi="Times New Roman" w:cs="Times New Roman"/>
          <w:sz w:val="24"/>
          <w:szCs w:val="24"/>
        </w:rPr>
        <w:t xml:space="preserve"> Clara </w:t>
      </w:r>
      <w:r w:rsidR="00057138" w:rsidRPr="009A604C"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2A2B10" w:rsidRPr="009A604C">
        <w:rPr>
          <w:rFonts w:ascii="Times New Roman" w:eastAsia="Times New Roman" w:hAnsi="Times New Roman" w:cs="Times New Roman"/>
          <w:sz w:val="24"/>
          <w:szCs w:val="24"/>
        </w:rPr>
        <w:t xml:space="preserve"> ela.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Quanto aos atos das </w:t>
      </w:r>
      <w:r w:rsidR="0076182D" w:rsidRPr="009A604C">
        <w:rPr>
          <w:rFonts w:ascii="Times New Roman" w:eastAsia="Times New Roman" w:hAnsi="Times New Roman" w:cs="Times New Roman"/>
          <w:sz w:val="24"/>
          <w:szCs w:val="24"/>
        </w:rPr>
        <w:t xml:space="preserve">indústrias extrativistas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em Madruga: (i) o art. 36 da Carta da OEA prevê que empresas transnacionais submetem-se apenas à jurisdição do Estado receptor,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in casu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Madruga; (ii) não houve a aquiescência ou tolerância de Sta. Clara com essas empresas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; (iii) elas não são controladas pelo Estado e n</w:t>
      </w:r>
      <w:r w:rsidR="00057138" w:rsidRPr="009A604C">
        <w:rPr>
          <w:rFonts w:ascii="Times New Roman" w:eastAsia="Times New Roman" w:hAnsi="Times New Roman" w:cs="Times New Roman"/>
          <w:sz w:val="24"/>
          <w:szCs w:val="24"/>
        </w:rPr>
        <w:t>em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exercem autoridade governamental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; (iv) inexiste vínculo entre seus atos e as autoridades de Sta. Clara, pois o Sr. Klein não era Primeiro Ministro à época dos fatos e o Sr. Nelson não</w:t>
      </w:r>
      <w:r w:rsidR="009F2931" w:rsidRPr="009A604C">
        <w:rPr>
          <w:rFonts w:ascii="Times New Roman" w:eastAsia="Times New Roman" w:hAnsi="Times New Roman" w:cs="Times New Roman"/>
          <w:sz w:val="24"/>
          <w:szCs w:val="24"/>
        </w:rPr>
        <w:t xml:space="preserve"> agiu enquanto agente consular.</w:t>
      </w:r>
      <w:r w:rsidR="00D7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931" w:rsidRPr="009A604C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o que cabia à jurisdição de Sta. Clara – o desvio de conduta – o Sr. Nelson foi responsabilizado, não podendo esta Corte revisar, confirma</w:t>
      </w:r>
      <w:r w:rsidR="009F2931" w:rsidRPr="009A604C">
        <w:rPr>
          <w:rFonts w:ascii="Times New Roman" w:eastAsia="Times New Roman" w:hAnsi="Times New Roman" w:cs="Times New Roman"/>
          <w:sz w:val="24"/>
          <w:szCs w:val="24"/>
        </w:rPr>
        <w:t>r ou aprovar 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decidido em âmbito interno, sob pena de incidir em quarta instância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  <w:r w:rsidR="0076182D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2FF8" w:rsidRPr="009A604C">
        <w:rPr>
          <w:rFonts w:ascii="Times New Roman" w:eastAsia="Times New Roman" w:hAnsi="Times New Roman" w:cs="Times New Roman"/>
          <w:sz w:val="24"/>
          <w:szCs w:val="24"/>
        </w:rPr>
        <w:t xml:space="preserve"> Nem mesmo há competência para Sta. Clara julgar os supostos danos ocorridos em Madruga, pois a reparação em face desses deve ser buscada </w:t>
      </w:r>
      <w:r w:rsidR="00057138" w:rsidRPr="009A604C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262FF8" w:rsidRPr="009A604C">
        <w:rPr>
          <w:rFonts w:ascii="Times New Roman" w:eastAsia="Times New Roman" w:hAnsi="Times New Roman" w:cs="Times New Roman"/>
          <w:sz w:val="24"/>
          <w:szCs w:val="24"/>
        </w:rPr>
        <w:t xml:space="preserve"> tribunais </w:t>
      </w:r>
      <w:r w:rsidR="00057138" w:rsidRPr="009A604C">
        <w:rPr>
          <w:rFonts w:ascii="Times New Roman" w:eastAsia="Times New Roman" w:hAnsi="Times New Roman" w:cs="Times New Roman"/>
          <w:sz w:val="24"/>
          <w:szCs w:val="24"/>
        </w:rPr>
        <w:t>do Estado</w:t>
      </w:r>
      <w:r w:rsidR="00262FF8" w:rsidRPr="009A604C">
        <w:rPr>
          <w:rFonts w:ascii="Times New Roman" w:eastAsia="Times New Roman" w:hAnsi="Times New Roman" w:cs="Times New Roman"/>
          <w:sz w:val="24"/>
          <w:szCs w:val="24"/>
        </w:rPr>
        <w:t xml:space="preserve"> onde causado o dano</w:t>
      </w:r>
      <w:r w:rsidR="00262FF8" w:rsidRPr="009A604C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0"/>
      </w:r>
      <w:r w:rsidR="00262FF8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24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Destaque-se, por fim, que o procedimento adotado pela CIDH no Relatório de Admissibilidade Nº 20/14 contrariou o art. 29.5 de seu Regulamento, pois só é facultada a conexão de petições que envolvam as mesmas pessoas ou revelem o mesmo padrão de conduta. Claramente, essa não é a hipótese dos autos, já que as supostas vítimas não estão relacionadas, os fatos e os padrões de conduta não são comuns e tampouco os indivíduos. Ainda que na jurisdição internacional certas formalidades não sejam sempre relevantes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182D" w:rsidRPr="009A604C">
        <w:rPr>
          <w:rFonts w:ascii="Times New Roman" w:eastAsia="Times New Roman" w:hAnsi="Times New Roman" w:cs="Times New Roman"/>
          <w:sz w:val="24"/>
          <w:szCs w:val="24"/>
        </w:rPr>
        <w:t xml:space="preserve"> esta Corte já consolidou que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76182D" w:rsidRPr="009A604C">
        <w:rPr>
          <w:rFonts w:ascii="Times New Roman" w:eastAsia="Times New Roman" w:hAnsi="Times New Roman" w:cs="Times New Roman"/>
          <w:sz w:val="24"/>
          <w:szCs w:val="24"/>
        </w:rPr>
        <w:t>m ser preservadas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as condições para</w:t>
      </w:r>
      <w:r w:rsidR="0076182D" w:rsidRPr="009A604C">
        <w:rPr>
          <w:rFonts w:ascii="Times New Roman" w:eastAsia="Times New Roman" w:hAnsi="Times New Roman" w:cs="Times New Roman"/>
          <w:sz w:val="24"/>
          <w:szCs w:val="24"/>
        </w:rPr>
        <w:t xml:space="preserve"> não diminuir ou desequilibrar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os direitos processuais das partes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"/>
      </w:r>
      <w:r w:rsidR="00BD54E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e, no caso, houve evidente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desequilíbrio entre os direitos de defesa.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Destarte, Sta. Clara solicita que esta Casa: (i) exerça controle de legalidade sobre a CIDH, pois apesar de sua autonomia, compete à CtIDH efetuar o controle de suas ações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3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tendo em vista que a CADH lhe confere jurisdição plena das questões sob seu conhecimento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4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; e (ii) declare – em audiência pública, ou em sentença, como faculta o art. 42.6 de seu Regulamento – a demanda inadmissível no ponto que versa sobre os eventos havidos fora de sua jurisdição. 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2 DO MÉRITO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2.1 Da inocorrência de violação aos arts. 4, 5 e 17 da CADH em face da família Camana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26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O art. 4 da CADH prevê o direito de todos os indivíduos à proteção, amparo e dignidade da vida, cabendo aos Estados garanti-lo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5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O art. 5 estabelece o dever dos Estados de resguardar a integridade física, psíquica e moral daqueles sob sua jurisdição (art. 5.1), veda a tortura, tratamentos cruéis, desumanos e/ou degradantes (art. 5.2)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6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Já o art. 17 preconiza que os Estados respeitem e garantam a constituição familiar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7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O exame da não violação desses arts. ora dá-se conjuntamente pela relação intrínseca que apresentam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in casu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27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O direito à vida possui dimensões positivas e negativas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8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Essas pressupõem a sua não privação arbitrária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9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; aquelas, estabelecem que se tomem as medidas necessárias à sua garantia e proteção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0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Quanto à dimensão positiva, o Estado apenas será considerado negligente e responsável pela sua violação, quando conhecer da situação de risco real e imediato da vida de indivíduos determinados e houver possibilidades razoáveis de prevenir ou evitá-lo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1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DFC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9A604C">
        <w:rPr>
          <w:rFonts w:ascii="Times New Roman" w:eastAsia="Times New Roman" w:hAnsi="Times New Roman" w:cs="Times New Roman"/>
          <w:sz w:val="24"/>
          <w:szCs w:val="24"/>
        </w:rPr>
        <w:tab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Nada disso se constata, porém, nos lamentáveis eventos relacionados à família Camana. Os homicídios de 1992 ocorreram em um estabelecimento privado, cometido</w:t>
      </w:r>
      <w:r w:rsidR="006F3E6C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por desconhecidos encapuzados, fora de Sta. Clara, em um período de aproximação diplomática entre os Estados, não sendo crível a previsão do risco. Recorde-se que a atuação da CMTM não se estendia à Sta. Clara, de modo que o falecimento de outros sindicalistas não torna previsíveis os fatos em apreço, pois o Sr. Camana representava unicamente os trabalhadores madruguenses, não sendo sua atuação sindical suficiente para que Sta. Clara conhecesse dos riscos que ele e sua família poderiam sofrer, já que não há indícios de ameaças contra ele. Quanto ao homicídio de Lucía, Sta</w:t>
      </w:r>
      <w:r w:rsidR="00233D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Clara não podia conhecer do risco, pois ocorreu fora de suas fronteiras e em evento público, onde presumia-se que a segurança seria prestada por Madruga. Ademais, no instante em que Lucía decidiu regressar à Madruga, considerou-se cessado</w:t>
      </w:r>
      <w:r w:rsidR="006F3E6C" w:rsidRPr="009A604C">
        <w:rPr>
          <w:rFonts w:ascii="Times New Roman" w:eastAsia="Times New Roman" w:hAnsi="Times New Roman" w:cs="Times New Roman"/>
          <w:sz w:val="24"/>
          <w:szCs w:val="24"/>
        </w:rPr>
        <w:t>, anos antes de sua morte,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 risco que motivou</w:t>
      </w:r>
      <w:r w:rsidR="00FC4C63" w:rsidRPr="009A604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refúgio. </w:t>
      </w:r>
      <w:r w:rsidR="006F3E6C" w:rsidRPr="009A604C">
        <w:rPr>
          <w:rFonts w:ascii="Times New Roman" w:eastAsia="Times New Roman" w:hAnsi="Times New Roman" w:cs="Times New Roman"/>
          <w:sz w:val="24"/>
          <w:szCs w:val="24"/>
        </w:rPr>
        <w:t>Ademais,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se o Estado </w:t>
      </w:r>
      <w:r w:rsidR="006F3E6C" w:rsidRPr="009A604C">
        <w:rPr>
          <w:rFonts w:ascii="Times New Roman" w:eastAsia="Times New Roman" w:hAnsi="Times New Roman" w:cs="Times New Roman"/>
          <w:sz w:val="24"/>
          <w:szCs w:val="24"/>
        </w:rPr>
        <w:t>vedasse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seu regresso, violaria os arts. 7 e 22 da CADH.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DFC" w:rsidRPr="009A604C">
        <w:rPr>
          <w:rFonts w:ascii="Times New Roman" w:eastAsia="Times New Roman" w:hAnsi="Times New Roman" w:cs="Times New Roman"/>
          <w:sz w:val="24"/>
          <w:szCs w:val="24"/>
        </w:rPr>
        <w:t xml:space="preserve">Nem mesmo a alegação de previsibilidade por suposto </w:t>
      </w:r>
      <w:r w:rsidR="00A92DFC" w:rsidRPr="009A604C">
        <w:rPr>
          <w:rFonts w:ascii="Times New Roman" w:eastAsia="Times New Roman" w:hAnsi="Times New Roman" w:cs="Times New Roman"/>
          <w:i/>
          <w:sz w:val="24"/>
          <w:szCs w:val="24"/>
        </w:rPr>
        <w:t>modus operandi</w:t>
      </w:r>
      <w:r w:rsidR="00F956A2" w:rsidRPr="009A604C">
        <w:rPr>
          <w:rFonts w:ascii="Times New Roman" w:eastAsia="Times New Roman" w:hAnsi="Times New Roman" w:cs="Times New Roman"/>
          <w:sz w:val="24"/>
          <w:szCs w:val="24"/>
        </w:rPr>
        <w:t xml:space="preserve"> similar</w:t>
      </w:r>
      <w:r w:rsidR="00A92DFC" w:rsidRPr="009A604C">
        <w:rPr>
          <w:rFonts w:ascii="Times New Roman" w:eastAsia="Times New Roman" w:hAnsi="Times New Roman" w:cs="Times New Roman"/>
          <w:sz w:val="24"/>
          <w:szCs w:val="24"/>
        </w:rPr>
        <w:t xml:space="preserve"> se sustenta, </w:t>
      </w:r>
      <w:r w:rsidR="00F956A2" w:rsidRPr="009A604C">
        <w:rPr>
          <w:rFonts w:ascii="Times New Roman" w:eastAsia="Times New Roman" w:hAnsi="Times New Roman" w:cs="Times New Roman"/>
          <w:sz w:val="24"/>
          <w:szCs w:val="24"/>
        </w:rPr>
        <w:t>pois</w:t>
      </w:r>
      <w:r w:rsidR="00A92DFC" w:rsidRPr="009A604C">
        <w:rPr>
          <w:rFonts w:ascii="Times New Roman" w:eastAsia="Times New Roman" w:hAnsi="Times New Roman" w:cs="Times New Roman"/>
          <w:sz w:val="24"/>
          <w:szCs w:val="24"/>
        </w:rPr>
        <w:t xml:space="preserve"> não se trata de ação perpetrada durante ditadura militar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e de desaparecimento forçado</w:t>
      </w:r>
      <w:r w:rsidR="00A92DFC" w:rsidRPr="009A604C">
        <w:rPr>
          <w:rFonts w:ascii="Times New Roman" w:eastAsia="Times New Roman" w:hAnsi="Times New Roman" w:cs="Times New Roman"/>
          <w:sz w:val="24"/>
          <w:szCs w:val="24"/>
        </w:rPr>
        <w:t>, o que afasta o entendimento desta Casa</w:t>
      </w:r>
      <w:r w:rsidR="00A92DFC" w:rsidRPr="009A604C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2"/>
      </w:r>
      <w:r w:rsidR="00A92DFC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que condutas semelhantes acarretam previsibilidade.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29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Ora, não sendo previsíveis esses fatos, n</w:t>
      </w:r>
      <w:r w:rsidR="00FC4C63" w:rsidRPr="009A604C">
        <w:rPr>
          <w:rFonts w:ascii="Times New Roman" w:eastAsia="Times New Roman" w:hAnsi="Times New Roman" w:cs="Times New Roman"/>
          <w:sz w:val="24"/>
          <w:szCs w:val="24"/>
        </w:rPr>
        <w:t>ão há de se falar em dever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prevenção e consequente violação ao art. 4 da CADH, sob pena de impor carga impossível ou desproporcional ao Estado, vedada por 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3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Além de desproporcional, a exigência de co</w:t>
      </w:r>
      <w:r w:rsidR="00AC5D23" w:rsidRPr="009A604C">
        <w:rPr>
          <w:rFonts w:ascii="Times New Roman" w:eastAsia="Times New Roman" w:hAnsi="Times New Roman" w:cs="Times New Roman"/>
          <w:sz w:val="24"/>
          <w:szCs w:val="24"/>
        </w:rPr>
        <w:t>nduta mais ampla de Sta. Clara põe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em risco fundamento basilar do direito internacional, a soberania estatal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4"/>
      </w:r>
      <w:r w:rsidR="00AC5D23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Madruga</w:t>
      </w:r>
      <w:r w:rsidR="00C011DD" w:rsidRPr="009A604C">
        <w:rPr>
          <w:rFonts w:ascii="Times New Roman" w:eastAsia="Times New Roman" w:hAnsi="Times New Roman" w:cs="Times New Roman"/>
          <w:sz w:val="24"/>
          <w:szCs w:val="24"/>
        </w:rPr>
        <w:t>, e 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s direitos humanos,</w:t>
      </w:r>
      <w:r w:rsidR="009F0EA4" w:rsidRPr="009A604C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apenas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DFC" w:rsidRPr="009A604C">
        <w:rPr>
          <w:rFonts w:ascii="Times New Roman" w:eastAsia="Times New Roman" w:hAnsi="Times New Roman" w:cs="Times New Roman"/>
          <w:sz w:val="24"/>
          <w:szCs w:val="24"/>
        </w:rPr>
        <w:t>são observado</w:t>
      </w:r>
      <w:r w:rsidR="00C011DD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quando respeitada</w:t>
      </w:r>
      <w:r w:rsidR="00C011DD" w:rsidRPr="009A604C">
        <w:rPr>
          <w:rFonts w:ascii="Times New Roman" w:eastAsia="Times New Roman" w:hAnsi="Times New Roman" w:cs="Times New Roman"/>
          <w:sz w:val="24"/>
          <w:szCs w:val="24"/>
        </w:rPr>
        <w:t xml:space="preserve"> a soberania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pois, do contrário, arrisca-se a democracia</w:t>
      </w:r>
      <w:r w:rsidR="007366C2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Cumpre recordar que mais de 50 anos antes desses eventos (1940), Sta. Clara </w:t>
      </w:r>
      <w:r w:rsidR="00F956A2" w:rsidRPr="009A604C">
        <w:rPr>
          <w:rFonts w:ascii="Times New Roman" w:eastAsia="Times New Roman" w:hAnsi="Times New Roman" w:cs="Times New Roman"/>
          <w:sz w:val="24"/>
          <w:szCs w:val="24"/>
        </w:rPr>
        <w:t>revogara</w:t>
      </w:r>
      <w:r w:rsidR="002273AC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F5F" w:rsidRPr="009A604C">
        <w:rPr>
          <w:rFonts w:ascii="Times New Roman" w:eastAsia="Times New Roman" w:hAnsi="Times New Roman" w:cs="Times New Roman"/>
          <w:sz w:val="24"/>
          <w:szCs w:val="24"/>
        </w:rPr>
        <w:t>a Lei de Segurança Hemisférica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tomando as medidas cabíveis para prevenir eventuais riscos dela decorrentes. O Estado tampouco foi negligente com uma possível instabilidade social em Madruga, decorrente das indúst</w:t>
      </w:r>
      <w:r w:rsidR="00BC0674" w:rsidRPr="009A604C">
        <w:rPr>
          <w:rFonts w:ascii="Times New Roman" w:eastAsia="Times New Roman" w:hAnsi="Times New Roman" w:cs="Times New Roman"/>
          <w:sz w:val="24"/>
          <w:szCs w:val="24"/>
        </w:rPr>
        <w:t>rias extrativistas, pois além de 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TLCD permitir que controvérsias em relação às empresas fossem </w:t>
      </w:r>
      <w:r w:rsidR="009B571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levadas ao painel arbitral, </w:t>
      </w:r>
      <w:r w:rsidR="004831DA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incumbia à Madruga coibir, em seu território, a aceita</w:t>
      </w:r>
      <w:r w:rsidR="00E3410D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ção de qualquer valor</w:t>
      </w:r>
      <w:r w:rsidR="004831DA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por seus agentes e que viesse a fomentar instabilidades (arts. V.1 e VI.I.a da Convenção Interamericana contr</w:t>
      </w:r>
      <w:r w:rsidR="00E3410D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a </w:t>
      </w:r>
      <w:r w:rsidR="00DF7F7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E3410D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orrupção). E</w:t>
      </w:r>
      <w:r w:rsidR="004831DA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mbora as indústrias extrativistas tivessem matriz em Sta. Clara, domiciliavam-se em Madruga, atraindo para esse Estado tal responsabilidade (art. VIII da </w:t>
      </w:r>
      <w:r w:rsidR="00DF7F7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referida Convenção</w:t>
      </w:r>
      <w:r w:rsidR="004831DA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  <w:r w:rsidR="00BA668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Note-se, portanto, que </w:t>
      </w:r>
      <w:r w:rsidR="00DF7F7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ainda que ausentes </w:t>
      </w:r>
      <w:r w:rsidR="00BA668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mecanismos legais em Sta. Clara para a revisão periódica das atividades empresariais, incumbe ao Estado receptor da transnacional </w:t>
      </w:r>
      <w:r w:rsidR="00DF7F7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supervisioná-la</w:t>
      </w:r>
      <w:r w:rsidR="006C6FAB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. Nesse sentido é imprescindível recordar a autonomia e independência de filiais e sucursais no exterior em relação à matriz</w:t>
      </w:r>
      <w:r w:rsidR="00F95687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, vislumbrada pela tributação e co</w:t>
      </w:r>
      <w:r w:rsidR="00C011DD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ntabilidade separadas</w:t>
      </w:r>
      <w:r w:rsidR="009C249A" w:rsidRPr="009A604C">
        <w:rPr>
          <w:rStyle w:val="Refdenotaderodap"/>
          <w:rFonts w:ascii="Times New Roman" w:eastAsia="Times New Roman" w:hAnsi="Times New Roman" w:cs="Times New Roman"/>
          <w:i/>
          <w:color w:val="auto"/>
          <w:sz w:val="24"/>
          <w:szCs w:val="24"/>
        </w:rPr>
        <w:footnoteReference w:id="25"/>
      </w:r>
      <w:r w:rsidR="006C6FAB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080BFA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Frisa</w:t>
      </w:r>
      <w:r w:rsidR="00C75CF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-se que os </w:t>
      </w:r>
      <w:r w:rsidR="006C6FAB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Princípios Reitores da ONU p</w:t>
      </w:r>
      <w:r w:rsidR="00080BFA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ara Empresas e Direitos Humanos</w:t>
      </w:r>
      <w:r w:rsidR="006C6FAB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não </w:t>
      </w:r>
      <w:r w:rsidR="001C7F0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vinculam</w:t>
      </w:r>
      <w:r w:rsidR="00255CA5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Estado</w:t>
      </w:r>
      <w:r w:rsidR="001C7F0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ou </w:t>
      </w:r>
      <w:r w:rsidR="00255CA5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as empresas</w:t>
      </w:r>
      <w:r w:rsidR="006C6FAB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, de modo que não se pode, ao contrário do que sugerem as supostas vítimas, exigi</w:t>
      </w:r>
      <w:r w:rsidR="001C7F0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-los </w:t>
      </w:r>
      <w:r w:rsidR="006C6FAB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de Sta. Clara</w:t>
      </w:r>
      <w:r w:rsidR="001C7F0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31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A dimensão negativa do art. 4 tamb</w:t>
      </w:r>
      <w:r w:rsidR="001C7F0F" w:rsidRPr="009A604C">
        <w:rPr>
          <w:rFonts w:ascii="Times New Roman" w:eastAsia="Times New Roman" w:hAnsi="Times New Roman" w:cs="Times New Roman"/>
          <w:sz w:val="24"/>
          <w:szCs w:val="24"/>
        </w:rPr>
        <w:t>ém foi respeitada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já que, para 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6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o Estado só viola a CADH através de um ato de poder ou de indivíduos que atuem sob o caráter de poder estatal. Além disso</w:t>
      </w:r>
      <w:r w:rsidR="001C7F0F" w:rsidRPr="009A6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segundo a teoria dos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non state actors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7"/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para qu</w:t>
      </w:r>
      <w:r w:rsidR="00CC3E70" w:rsidRPr="009A604C">
        <w:rPr>
          <w:rFonts w:ascii="Times New Roman" w:eastAsia="Times New Roman" w:hAnsi="Times New Roman" w:cs="Times New Roman"/>
          <w:sz w:val="24"/>
          <w:szCs w:val="24"/>
        </w:rPr>
        <w:t>e o Estado seja responsável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pela conduta de uma pessoa natural ou jurídica a ele não vinculada, </w:t>
      </w:r>
      <w:r w:rsidR="00CC3E70" w:rsidRPr="009A604C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85AB0" w:rsidRPr="009A604C">
        <w:rPr>
          <w:rFonts w:ascii="Times New Roman" w:eastAsia="Times New Roman" w:hAnsi="Times New Roman" w:cs="Times New Roman"/>
          <w:sz w:val="24"/>
          <w:szCs w:val="24"/>
        </w:rPr>
        <w:t>ndústrias extrativistas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, essa deve: (i) ser considerada </w:t>
      </w:r>
      <w:r w:rsidR="00CC3E70" w:rsidRPr="009A604C">
        <w:rPr>
          <w:rFonts w:ascii="Times New Roman" w:eastAsia="Times New Roman" w:hAnsi="Times New Roman" w:cs="Times New Roman"/>
          <w:sz w:val="24"/>
          <w:szCs w:val="24"/>
        </w:rPr>
        <w:t xml:space="preserve">instituição de caráter público ou deter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capacidade estatal; (ii) violar direitos humanos em cumplicidade com autoridade estatal; (iii) discriminar terceiros; ou, quando o Estado (iv) omitir-se em prevenir violações praticadas por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non state actors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com seus agentes.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32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Claramente, essa</w:t>
      </w:r>
      <w:r w:rsidR="00F85AB0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não são as hipóteses da contenda em apreço, pois: (i) embora Sta. Clara invista em empresas como a Minin</w:t>
      </w:r>
      <w:r w:rsidR="00674982" w:rsidRPr="009A604C">
        <w:rPr>
          <w:rFonts w:ascii="Times New Roman" w:eastAsia="Times New Roman" w:hAnsi="Times New Roman" w:cs="Times New Roman"/>
          <w:sz w:val="24"/>
          <w:szCs w:val="24"/>
        </w:rPr>
        <w:t>g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corp, essa não é uma</w:t>
      </w:r>
      <w:r w:rsidR="005F1E90" w:rsidRPr="009A604C">
        <w:rPr>
          <w:rFonts w:ascii="Times New Roman" w:eastAsia="Times New Roman" w:hAnsi="Times New Roman" w:cs="Times New Roman"/>
          <w:sz w:val="24"/>
          <w:szCs w:val="24"/>
        </w:rPr>
        <w:t xml:space="preserve"> instituição de caráter público;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trata-se de empresa privada que não exerce atividade estatal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8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; (ii)</w:t>
      </w:r>
      <w:r w:rsidR="00674982" w:rsidRPr="009A604C">
        <w:rPr>
          <w:rFonts w:ascii="Times New Roman" w:eastAsia="Times New Roman" w:hAnsi="Times New Roman" w:cs="Times New Roman"/>
          <w:sz w:val="24"/>
          <w:szCs w:val="24"/>
        </w:rPr>
        <w:t xml:space="preserve">  quando o Sr. Nelson encontrou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-se com o Los Olivos, </w:t>
      </w:r>
      <w:r w:rsidR="00674982" w:rsidRPr="009A604C">
        <w:rPr>
          <w:rFonts w:ascii="Times New Roman" w:eastAsia="Times New Roman" w:hAnsi="Times New Roman" w:cs="Times New Roman"/>
          <w:sz w:val="24"/>
          <w:szCs w:val="24"/>
        </w:rPr>
        <w:t xml:space="preserve">não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representava interesses estatais, e quando era diretor da Minin</w:t>
      </w:r>
      <w:r w:rsidR="00F05DCC" w:rsidRPr="009A604C">
        <w:rPr>
          <w:rFonts w:ascii="Times New Roman" w:eastAsia="Times New Roman" w:hAnsi="Times New Roman" w:cs="Times New Roman"/>
          <w:sz w:val="24"/>
          <w:szCs w:val="24"/>
        </w:rPr>
        <w:t>g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corp, o Sr. Klein não era membro do Executivo de Sta Clara</w:t>
      </w:r>
      <w:r w:rsidR="009B571F" w:rsidRPr="009A604C"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;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(iii) não houve qualquer discriminação às supostas vítimas; e (iv) não houve cumplicidade com os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non state actors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5DCC" w:rsidRPr="009A604C" w:rsidRDefault="00863CAF" w:rsidP="00614087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33</w:t>
      </w:r>
      <w:r w:rsidR="00F05DCC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5DCC" w:rsidRPr="009A604C">
        <w:rPr>
          <w:rFonts w:ascii="Times New Roman" w:eastAsia="Times New Roman" w:hAnsi="Times New Roman" w:cs="Times New Roman"/>
          <w:sz w:val="24"/>
          <w:szCs w:val="24"/>
        </w:rPr>
        <w:tab/>
      </w:r>
      <w:r w:rsidR="00F05DCC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Acrescente-se que o fato de o Sr. Nelson não representar interesses estatais quando se encontrou com </w:t>
      </w:r>
      <w:r w:rsidR="00AF64D5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F05DCC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Los Olivos não atrai para o Estado a re</w:t>
      </w:r>
      <w:r w:rsidR="00E05C2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sponsabilidade por</w:t>
      </w:r>
      <w:r w:rsidR="003860CE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05DCC" w:rsidRPr="009A60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atos ultra vires</w:t>
      </w:r>
      <w:r w:rsidR="00F05DCC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, pois essa se dá quando há ação abusiva ou arbitrária por parte do agente estatal</w:t>
      </w:r>
      <w:r w:rsidR="00F05DCC" w:rsidRPr="009A604C">
        <w:rPr>
          <w:rStyle w:val="Refdenotaderodap"/>
          <w:rFonts w:ascii="Times New Roman" w:eastAsia="Times New Roman" w:hAnsi="Times New Roman" w:cs="Times New Roman"/>
          <w:color w:val="auto"/>
          <w:sz w:val="24"/>
          <w:szCs w:val="24"/>
        </w:rPr>
        <w:footnoteReference w:id="29"/>
      </w:r>
      <w:r w:rsidR="00F05DCC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 que não é a hipótese dos autos, </w:t>
      </w:r>
      <w:r w:rsidR="005F1E90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já que não houve abuso de poder;</w:t>
      </w:r>
      <w:r w:rsidR="003860CE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C2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ou </w:t>
      </w:r>
      <w:r w:rsidR="00DD30E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quando há ação ou omissão que implique em violação a direitos humanos</w:t>
      </w:r>
      <w:r w:rsidR="00AF64D5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, como consolidou est</w:t>
      </w:r>
      <w:r w:rsidR="00E05C2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a Casa</w:t>
      </w:r>
      <w:r w:rsidR="00E05C29" w:rsidRPr="009A604C">
        <w:rPr>
          <w:rStyle w:val="Refdenotaderodap"/>
          <w:rFonts w:ascii="Times New Roman" w:eastAsia="Times New Roman" w:hAnsi="Times New Roman" w:cs="Times New Roman"/>
          <w:color w:val="auto"/>
          <w:sz w:val="24"/>
          <w:szCs w:val="24"/>
        </w:rPr>
        <w:footnoteReference w:id="30"/>
      </w:r>
      <w:r w:rsidR="00DD30E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. Ora, o Sr. Nelson, embora tenha reconhecido o desvio de função,</w:t>
      </w:r>
      <w:r w:rsidR="005F1E90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negou qualquer envolvimento ilícito em ata cuja legitimidade é aceita pelas supostas vítimas</w:t>
      </w:r>
      <w:r w:rsidR="00DD30E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34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Também não se violou o projeto de vida das supostas vítimas, pois não houve a perda de um familiar por ação arbitrária do Estado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1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Outrossim, conquanto esta Corte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2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entenda que a ofensa ao direito à vida viola os demais direitos da CADH, como não há a responsabilidade de Sta. Clara pela violação ao referido art. 4, é corolário que o Estado não pode ser responsabilizado pelas suas consequências, como pela suposta ofensa aos arts. 5 e 17 da CADH.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35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Não se verifica qualquer violação </w:t>
      </w:r>
      <w:r w:rsidR="00D002C3" w:rsidRPr="009A604C">
        <w:rPr>
          <w:rFonts w:ascii="Times New Roman" w:eastAsia="Times New Roman" w:hAnsi="Times New Roman" w:cs="Times New Roman"/>
          <w:sz w:val="24"/>
          <w:szCs w:val="24"/>
        </w:rPr>
        <w:t>à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integridade pessoal da família Camana. </w:t>
      </w:r>
      <w:r w:rsidR="00D002C3" w:rsidRPr="009A604C">
        <w:rPr>
          <w:rFonts w:ascii="Times New Roman" w:eastAsia="Times New Roman" w:hAnsi="Times New Roman" w:cs="Times New Roman"/>
          <w:sz w:val="24"/>
          <w:szCs w:val="24"/>
        </w:rPr>
        <w:t>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3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já consolidou que essas violações possuem distintas e graduais conotações, sendo que a eventual determinação de sua ocorrência deve considerar fatores endógenos e exógenos ao </w:t>
      </w:r>
      <w:r w:rsidR="00D002C3" w:rsidRPr="009A604C">
        <w:rPr>
          <w:rFonts w:ascii="Times New Roman" w:eastAsia="Times New Roman" w:hAnsi="Times New Roman" w:cs="Times New Roman"/>
          <w:sz w:val="24"/>
          <w:szCs w:val="24"/>
        </w:rPr>
        <w:t>fato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bem como a suposta vítima. Igualmente, para a CtEDH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4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esse exame deve ser feito caso a caso.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36</w:t>
      </w:r>
      <w:r w:rsidR="00D002C3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02C3" w:rsidRPr="009A604C">
        <w:rPr>
          <w:rFonts w:ascii="Times New Roman" w:eastAsia="Times New Roman" w:hAnsi="Times New Roman" w:cs="Times New Roman"/>
          <w:sz w:val="24"/>
          <w:szCs w:val="24"/>
        </w:rPr>
        <w:tab/>
        <w:t>A integridade</w:t>
      </w:r>
      <w:r w:rsidR="00AF64D5" w:rsidRPr="009A604C">
        <w:rPr>
          <w:rFonts w:ascii="Times New Roman" w:eastAsia="Times New Roman" w:hAnsi="Times New Roman" w:cs="Times New Roman"/>
          <w:sz w:val="24"/>
          <w:szCs w:val="24"/>
        </w:rPr>
        <w:t xml:space="preserve"> física, psíquica e moral foi respeitada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A primeira, pois não houve qualquer ingerência por Sta. Clara que visasse lesionar os membros da família Camana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5"/>
      </w:r>
      <w:r w:rsidR="00D002C3" w:rsidRPr="009A604C">
        <w:rPr>
          <w:rFonts w:ascii="Times New Roman" w:eastAsia="Times New Roman" w:hAnsi="Times New Roman" w:cs="Times New Roman"/>
          <w:sz w:val="24"/>
          <w:szCs w:val="24"/>
        </w:rPr>
        <w:t xml:space="preserve">; as outras,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pois não houve quaisquer ações capazes de causar danos psíquicos ou sentimentos de humilhação e degradação às supostas vítimas. Especialmente pelo apoio prestado à Lucía</w:t>
      </w:r>
      <w:r w:rsidR="008077A6" w:rsidRPr="009A6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Sta. Clara buscou assegurar e promover </w:t>
      </w:r>
      <w:r w:rsidR="008077A6" w:rsidRPr="009A604C">
        <w:rPr>
          <w:rFonts w:ascii="Times New Roman" w:eastAsia="Times New Roman" w:hAnsi="Times New Roman" w:cs="Times New Roman"/>
          <w:sz w:val="24"/>
          <w:szCs w:val="24"/>
        </w:rPr>
        <w:t>sua integridade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37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As supostas vít</w:t>
      </w:r>
      <w:r w:rsidR="00D002C3" w:rsidRPr="009A604C">
        <w:rPr>
          <w:rFonts w:ascii="Times New Roman" w:eastAsia="Times New Roman" w:hAnsi="Times New Roman" w:cs="Times New Roman"/>
          <w:sz w:val="24"/>
          <w:szCs w:val="24"/>
        </w:rPr>
        <w:t xml:space="preserve">imas tampouco foram submetidas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a tratamentos degradantes (capaz de provocar sentimentos de temor e angústia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6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), desumanos (intencional, que gera dano mental ou físico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7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) ou cruéis; ao contrário, quando lhe incumbiu, Sta. Clara foi </w:t>
      </w:r>
      <w:r w:rsidR="00D002C3" w:rsidRPr="009A604C">
        <w:rPr>
          <w:rFonts w:ascii="Times New Roman" w:eastAsia="Times New Roman" w:hAnsi="Times New Roman" w:cs="Times New Roman"/>
          <w:sz w:val="24"/>
          <w:szCs w:val="24"/>
        </w:rPr>
        <w:t xml:space="preserve">diligente,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amparou e concedeu o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status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refugiada à Lucía, impedindo que sua situação de vulnerabilidade se perpetrasse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8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observando o art. 9 da Convenção de Belém do Pará. Que não se cogite ainda a ocorrência de tortura (art. 5.2 da CADH), pois, segundo o art. 2 da Convenção Interamericana para Prevenir e Punir a Tortura, só constitui tortura o ato intencional ou deliberado contra outrem com fins investigativos, preventivos ou punitivos, que diminua a capacidade física ou mental do indivíduo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9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o que notadamente não ocorreu neste caso.</w:t>
      </w:r>
      <w:r w:rsidR="00345521" w:rsidRPr="009A604C">
        <w:rPr>
          <w:rFonts w:ascii="Times New Roman" w:eastAsia="Times New Roman" w:hAnsi="Times New Roman" w:cs="Times New Roman"/>
          <w:sz w:val="24"/>
          <w:szCs w:val="24"/>
        </w:rPr>
        <w:t xml:space="preserve"> Sequer há tortura psicológica, pois não havia ameaças de lesões físicas às supostas vítimas</w:t>
      </w:r>
      <w:r w:rsidR="00345521" w:rsidRPr="009A604C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40"/>
      </w:r>
      <w:r w:rsidR="00345521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38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Portanto, uma vez que o Estado respeitou os arts. 4 e 5 da CADH e os arts. 1 e 4 da Convenção de Belém do Pará em face da família Camana, não deve recair sobre ele eventual responsabilidade pelos danos psicológicos que possam ter acometido seus entes, ainda que 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1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tenha ampliado o alcance do direito à integridade psíquica, de mo</w:t>
      </w:r>
      <w:r w:rsidR="00345521" w:rsidRPr="009A604C">
        <w:rPr>
          <w:rFonts w:ascii="Times New Roman" w:eastAsia="Times New Roman" w:hAnsi="Times New Roman" w:cs="Times New Roman"/>
          <w:sz w:val="24"/>
          <w:szCs w:val="24"/>
        </w:rPr>
        <w:t xml:space="preserve">do a abranger os familiares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diretos</w:t>
      </w:r>
      <w:r w:rsidR="00345521" w:rsidRPr="009A604C">
        <w:rPr>
          <w:rFonts w:ascii="Times New Roman" w:eastAsia="Times New Roman" w:hAnsi="Times New Roman" w:cs="Times New Roman"/>
          <w:sz w:val="24"/>
          <w:szCs w:val="24"/>
        </w:rPr>
        <w:t xml:space="preserve"> das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supostas vítimas. Ademais, não se trata de hipótese de angústia decorrente de omissão do dever de Sta. Clara de investigar, pois o Estado foi diligente, na medida de sua</w:t>
      </w:r>
      <w:r w:rsidR="0045547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competência, nas investigações, nem de desaparecimento forçado ou de execuç</w:t>
      </w:r>
      <w:r w:rsidR="008F734E" w:rsidRPr="009A604C">
        <w:rPr>
          <w:rFonts w:ascii="Times New Roman" w:eastAsia="Times New Roman" w:hAnsi="Times New Roman" w:cs="Times New Roman"/>
          <w:sz w:val="24"/>
          <w:szCs w:val="24"/>
        </w:rPr>
        <w:t>ão extrajudicial</w:t>
      </w:r>
      <w:r w:rsidR="008F734E" w:rsidRPr="009A604C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42"/>
      </w:r>
      <w:r w:rsidR="008F734E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39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A propósito, esses fatos sequer violam o art. 17 da CADH. Segundo esta Corte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3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os Estados devem garantir o gozo do núcleo familiar e seu pleno desenvolvimento, de modo que tod</w:t>
      </w:r>
      <w:r w:rsidR="001F2114" w:rsidRPr="009A604C">
        <w:rPr>
          <w:rFonts w:ascii="Times New Roman" w:eastAsia="Times New Roman" w:hAnsi="Times New Roman" w:cs="Times New Roman"/>
          <w:sz w:val="24"/>
          <w:szCs w:val="24"/>
        </w:rPr>
        <w:t>os os integrantes da família tenham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direito a receber proteção contra ato</w:t>
      </w:r>
      <w:r w:rsidR="001F2114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externo</w:t>
      </w:r>
      <w:r w:rsidR="001F2114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que afete</w:t>
      </w:r>
      <w:r w:rsidR="001F2114" w:rsidRPr="009A604C">
        <w:rPr>
          <w:rFonts w:ascii="Times New Roman" w:eastAsia="Times New Roman" w:hAnsi="Times New Roman" w:cs="Times New Roman"/>
          <w:sz w:val="24"/>
          <w:szCs w:val="24"/>
        </w:rPr>
        <w:t>m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 comunhão familiar. Os Estados, portanto, devem coibir risco</w:t>
      </w:r>
      <w:r w:rsidR="0075080D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ao fortalecimento do núcleo familiar ou </w:t>
      </w:r>
      <w:r w:rsidR="0075080D" w:rsidRPr="009A604C">
        <w:rPr>
          <w:rFonts w:ascii="Times New Roman" w:eastAsia="Times New Roman" w:hAnsi="Times New Roman" w:cs="Times New Roman"/>
          <w:sz w:val="24"/>
          <w:szCs w:val="24"/>
        </w:rPr>
        <w:t>ao seu não desenvolvimento. Sta.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Clara jamais agiu de modo arbitrário em relação à família ou foi omisso em protegê-la quando em situação de fragilidade, o que afasta a alegação das supostas vítimas, como já consignado por este Tribunal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4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Considerando que a violação </w:t>
      </w:r>
      <w:r w:rsidR="002871CB" w:rsidRPr="009A604C">
        <w:rPr>
          <w:rFonts w:ascii="Times New Roman" w:eastAsia="Times New Roman" w:hAnsi="Times New Roman" w:cs="Times New Roman"/>
          <w:sz w:val="24"/>
          <w:szCs w:val="24"/>
        </w:rPr>
        <w:t>ao art. 17 pressupõe a negação do direito ao</w:t>
      </w:r>
      <w:r w:rsidR="001F2114" w:rsidRPr="009A604C">
        <w:rPr>
          <w:rFonts w:ascii="Times New Roman" w:eastAsia="Times New Roman" w:hAnsi="Times New Roman" w:cs="Times New Roman"/>
          <w:sz w:val="24"/>
          <w:szCs w:val="24"/>
        </w:rPr>
        <w:t xml:space="preserve"> convívio familiar, </w:t>
      </w:r>
      <w:r w:rsidR="002871CB" w:rsidRPr="009A604C">
        <w:rPr>
          <w:rFonts w:ascii="Times New Roman" w:eastAsia="Times New Roman" w:hAnsi="Times New Roman" w:cs="Times New Roman"/>
          <w:sz w:val="24"/>
          <w:szCs w:val="24"/>
        </w:rPr>
        <w:t xml:space="preserve">vê-se que o Estado não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impossibilitou seu gozo, tendo garantido, inclusive, o</w:t>
      </w:r>
      <w:r w:rsidR="002871CB" w:rsidRPr="009A604C">
        <w:rPr>
          <w:rFonts w:ascii="Times New Roman" w:eastAsia="Times New Roman" w:hAnsi="Times New Roman" w:cs="Times New Roman"/>
          <w:sz w:val="24"/>
          <w:szCs w:val="24"/>
        </w:rPr>
        <w:t xml:space="preserve"> seu desfrute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5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à Lucía, quando refugiada. </w:t>
      </w:r>
      <w:r w:rsidR="00FC10C5" w:rsidRPr="009A604C">
        <w:rPr>
          <w:rFonts w:ascii="Times New Roman" w:eastAsia="Times New Roman" w:hAnsi="Times New Roman" w:cs="Times New Roman"/>
          <w:sz w:val="24"/>
          <w:szCs w:val="24"/>
        </w:rPr>
        <w:t>Assim,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Sta. Clara cumpriu com a obrigação</w:t>
      </w:r>
      <w:r w:rsidR="005D0636" w:rsidRPr="009A604C">
        <w:rPr>
          <w:rFonts w:ascii="Times New Roman" w:eastAsia="Times New Roman" w:hAnsi="Times New Roman" w:cs="Times New Roman"/>
          <w:sz w:val="24"/>
          <w:szCs w:val="24"/>
        </w:rPr>
        <w:t xml:space="preserve"> do art. 19 da CADH</w:t>
      </w:r>
      <w:r w:rsidR="00313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636" w:rsidRPr="009A604C">
        <w:rPr>
          <w:rFonts w:ascii="Times New Roman" w:eastAsia="Times New Roman" w:hAnsi="Times New Roman" w:cs="Times New Roman"/>
          <w:sz w:val="24"/>
          <w:szCs w:val="24"/>
        </w:rPr>
        <w:t xml:space="preserve">de acolher e resguardar a vida das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crianças</w:t>
      </w:r>
      <w:r w:rsidR="00880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e dar-lhes condições de vida e pleno desenvolvimento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6"/>
      </w:r>
      <w:r w:rsidR="001F2114" w:rsidRPr="009A604C">
        <w:rPr>
          <w:rFonts w:ascii="Times New Roman" w:eastAsia="Times New Roman" w:hAnsi="Times New Roman" w:cs="Times New Roman"/>
          <w:sz w:val="24"/>
          <w:szCs w:val="24"/>
        </w:rPr>
        <w:t>, ao acolhê-la</w:t>
      </w:r>
      <w:r w:rsidR="00FC10C5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2.2 Da inocorrência de violação ao art. 16 da CADH em face da família Camana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40</w:t>
      </w:r>
      <w:r w:rsidR="005D0636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0636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O art. 16 </w:t>
      </w:r>
      <w:r w:rsidR="00C701ED" w:rsidRPr="009A604C">
        <w:rPr>
          <w:rFonts w:ascii="Times New Roman" w:eastAsia="Times New Roman" w:hAnsi="Times New Roman" w:cs="Times New Roman"/>
          <w:sz w:val="24"/>
          <w:szCs w:val="24"/>
        </w:rPr>
        <w:t>da CADH prevê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que todos sob a jurisdição de um Estado têm direito a associar-se livremente com fim lícito, sem intervenções estatais que alterem </w:t>
      </w:r>
      <w:r w:rsidR="002602F2" w:rsidRPr="009A604C">
        <w:rPr>
          <w:rFonts w:ascii="Times New Roman" w:eastAsia="Times New Roman" w:hAnsi="Times New Roman" w:cs="Times New Roman"/>
          <w:sz w:val="24"/>
          <w:szCs w:val="24"/>
        </w:rPr>
        <w:t>tal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escopo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7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02F2" w:rsidRPr="009A604C">
        <w:rPr>
          <w:rFonts w:ascii="Times New Roman" w:eastAsia="Times New Roman" w:hAnsi="Times New Roman" w:cs="Times New Roman"/>
          <w:sz w:val="24"/>
          <w:szCs w:val="24"/>
        </w:rPr>
        <w:t>Assim,</w:t>
      </w:r>
      <w:r w:rsidR="00313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2F2" w:rsidRPr="009A604C">
        <w:rPr>
          <w:rFonts w:ascii="Times New Roman" w:eastAsia="Times New Roman" w:hAnsi="Times New Roman" w:cs="Times New Roman"/>
          <w:sz w:val="24"/>
          <w:szCs w:val="24"/>
        </w:rPr>
        <w:t>deve-se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prevenir atentados </w:t>
      </w:r>
      <w:r w:rsidR="00C701ED" w:rsidRPr="009A60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esse direito, protege</w:t>
      </w:r>
      <w:r w:rsidR="002602F2" w:rsidRPr="009A604C">
        <w:rPr>
          <w:rFonts w:ascii="Times New Roman" w:eastAsia="Times New Roman" w:hAnsi="Times New Roman" w:cs="Times New Roman"/>
          <w:sz w:val="24"/>
          <w:szCs w:val="24"/>
        </w:rPr>
        <w:t>ndo quem o exerça e investigando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violações a ele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8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43CB" w:rsidRPr="009A604C" w:rsidRDefault="00863CAF" w:rsidP="002F43CB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41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</w:rPr>
        <w:tab/>
        <w:t>Ora, Sta. Clara em momento algum impôs restrições (administrativas, legais, jurídicas) que frustrassem o direito do Sr. Camana, que por anos foi membro da CMTM e militou em prol de seus representados, de livre associação. Logo, não prospera a alegação de que foi violado o exercício de sua liberdade sindical - dimensão social do art. 16.1 da CADH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9"/>
      </w:r>
      <w:r w:rsidR="002F43CB" w:rsidRPr="009A604C">
        <w:rPr>
          <w:rFonts w:ascii="Times New Roman" w:eastAsia="Times New Roman" w:hAnsi="Times New Roman" w:cs="Times New Roman"/>
          <w:sz w:val="24"/>
          <w:szCs w:val="24"/>
        </w:rPr>
        <w:t>.  Na verdade, causa estranheza tal arguição, uma vez que Sta. Clara, em observância não só ao referido art., como ao art. 8 do Protocolo de San Salvador e ao art. 2 do Convênio 87 da OIT, sempre respeitou o direito dos indivíduos de formar associações e sindicatos sem impor restrições distintas daquelas previstas no art. 16.2 CADH</w:t>
      </w:r>
      <w:r w:rsidR="002F43CB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0"/>
      </w:r>
      <w:r w:rsidR="002F43CB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42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Houve plena observância, ainda, ao direto de liberdade de associação de Lucía. Desde o seu ingresso à Sta. Clara, o Estado garantiu e facilitou os meios para que ela, enquanto defensora de direitos humanos, realizasse livremente suas atividades, sem criar obstáculos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1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Prova disso é que, quando residia em Sta. Clara, Lucía atuou como porta voz do MNCIM, não sendo vedada a particip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 xml:space="preserve">ação em atividades vinculadas à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sua atuação. 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43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O Estado não refuta os entendimentos desta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2"/>
      </w:r>
      <w:r w:rsidR="004D5328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que: (i) hav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endo violação ao direito à vida ou à integridade pessoal para impedir o exercício da liberdade de associação, há violação autônoma dessa; e (ii) a liberdade sindical deve ser exercida sem temor de violência. De toda sorte, pondera que a atuação de milícias em Madruga não enseja responsabilidade à Sta. Clara, pois sua suposta vinculação ao Sr. Nelson ou às indústrias extrativistas não preenchem os requisitos da teoria dos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non state actors</w:t>
      </w:r>
      <w:r w:rsidR="0060453C">
        <w:rPr>
          <w:rFonts w:ascii="Times New Roman" w:eastAsia="Times New Roman" w:hAnsi="Times New Roman" w:cs="Times New Roman"/>
          <w:sz w:val="24"/>
          <w:szCs w:val="24"/>
        </w:rPr>
        <w:t xml:space="preserve"> (§§ 31-32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), para que haja responsabilidade internacional do Estado, e não há </w:t>
      </w:r>
      <w:r w:rsidR="004D5328" w:rsidRPr="009A604C">
        <w:rPr>
          <w:rFonts w:ascii="Times New Roman" w:eastAsia="Times New Roman" w:hAnsi="Times New Roman" w:cs="Times New Roman"/>
          <w:sz w:val="24"/>
          <w:szCs w:val="24"/>
        </w:rPr>
        <w:t>indícios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ameaças ao Sr. Camana. </w:t>
      </w:r>
      <w:r w:rsidR="009C249A" w:rsidRPr="009A604C">
        <w:rPr>
          <w:rFonts w:ascii="Times New Roman" w:eastAsia="Times New Roman" w:hAnsi="Times New Roman" w:cs="Times New Roman"/>
          <w:sz w:val="24"/>
          <w:szCs w:val="24"/>
        </w:rPr>
        <w:t>Logo,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não </w:t>
      </w:r>
      <w:r w:rsidR="00C75CF9" w:rsidRPr="009A604C">
        <w:rPr>
          <w:rFonts w:ascii="Times New Roman" w:eastAsia="Times New Roman" w:hAnsi="Times New Roman" w:cs="Times New Roman"/>
          <w:sz w:val="24"/>
          <w:szCs w:val="24"/>
        </w:rPr>
        <w:t>prospera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 argumento de que as manifestações da CMTM e do MNCIM foram proibidas ou perturbadas por Sta. Clara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3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="009B571F" w:rsidRPr="009A604C">
        <w:rPr>
          <w:rFonts w:ascii="Times New Roman" w:eastAsia="Times New Roman" w:hAnsi="Times New Roman" w:cs="Times New Roman"/>
          <w:b/>
          <w:sz w:val="24"/>
          <w:szCs w:val="24"/>
        </w:rPr>
        <w:t xml:space="preserve"> Da inocorrência de violação aos arts. 21 e 26 da CADH em face do Povo Pichicha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44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O direito à propriedade privada (art. 21 da CADH) garante a todos o uso e o gozo de seus bens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4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direito ao desenvolvimento progressivo (art. 26 da CADH) prevê que o Estado efetive plenamente os DESC e institui um dever de não-regressividade na adoção de providências que os efetivem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5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O exame de suas não violações 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passa a ser analisado conjuntamente.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45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A título de intróito, recorda-se que, para este Egrégio Tribunal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6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o direito à propriedade não é absoluto, pois se submete ao interesse social, o que possibilita ao Estado intervir na propriedade alheia. Não por acaso, a CtEDH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7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consolidou que a restrição ao direito à propriedade deve atingir um equilíbrio entre o interesse da comunidade e os direitos fundamentais do indivíduo. Portanto, embora 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8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tenha consignado que esse direito abarca a vinculação estreita entre os povos indígenas e suas terras, os recursos naturais dos territórios ancestrais e os elementos incorpóreos, não há qualquer violação ao art. 21 da CADH em face do Povo Pichicha.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46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Isto pois, o projeto Wirikuya, em consonância com o entendimento desta Corte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9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garantiu a efetiva participação do Povo Pichicha ao realizar processo de consulta especial e diferenciada que, por referir-se a um plano de desenvolvimento que impactaria no território indígena, observou as determinações desta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0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porque: (i) foi livre, prévio e informado, realizado de boa-fé, visando a um acordo, observando o art. 6.2 da Convenção 169 da OIT e os arts. 19 e 32.2 da DNUDPI; (ii) totalizou mais de 100 reuniões integralmente traduzidas ao idioma da comunidade e (iii) foi apresentado e explanado o EISA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1"/>
      </w:r>
      <w:r w:rsidR="003D13EF" w:rsidRPr="009A604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o Relatório Técnico da Subsecretaria de Inter-culturalidade. Ademais, de modo a garantir maior grau de legitimidade à consulta, foi apresentado por grupo multidisciplinar, imparcial e tecnicamente capacitado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2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Assim, a APP – representando a comunidade conforme os seus costumes e tradições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3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-, consentiu com o projeto Wirikuya e, somente após a sua concordância, os trabalhos iniciaram-se.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47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Tampouco o ingresso da Defesa Civil às adjacências do Riacho Mandí, após a ruptura de represa de contenção de detritos, viola o art. 21. Embora o acordo entre o Estado e o Povo Pichicha impossibilitasse o ingresso nessa área, Sta. Clara cumpriu com os requisitos desta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4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para restringir o direito de propriedade. </w:t>
      </w:r>
    </w:p>
    <w:p w:rsidR="009609EF" w:rsidRPr="009A604C" w:rsidRDefault="00863CAF" w:rsidP="009609EF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49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ab/>
        <w:t>Observou-se a necessidade – avaliada pela indispensabilidade da medida em satisfazer um interesse público imperativo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5"/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-, pois o ingresso da Defesa Civil às adjacências do riacho Mandí: (i) garantiu uma quantidade mínima diária de água - pré-requisito para a concretização de outros direitos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6"/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 xml:space="preserve"> - às populações, atendendo às necessidades mais básicas da vida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7"/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, assegurando-lhes sua subsistência em conformidade com o art. 29.3 da DNUDPI e o art. 2.2.a do Convênio 169 da OIT; (ii) a captação de água por outro meio levaria, ao menos, 5 dias, o que poderia, conforme literatura especializada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8"/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, ocasionar desidratação, hepatite, cólera e, eventualmente, provocar a morte; (iii) assegurou, de forma não-discriminatória, que o acesso e o direito à água potável não sofressem restrições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9"/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, considerando sua importância a comunidades indígenas enquanto componente central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0"/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suas tradições, cultura e instituições; (iv) caso Sta. Clara não garantisse o acesso à água, violaria, como já decidido por esta Casa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1"/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, a integridade do Povo Pichicha e dos camponeses; e (vi) a construção de tubulações, que tornar-se-ia inútil, despenderia vultuosos valores que poderiam ser aplicados em programas socioeconômicos.</w:t>
      </w:r>
    </w:p>
    <w:p w:rsidR="009609EF" w:rsidRPr="009A604C" w:rsidRDefault="00863CAF" w:rsidP="009609EF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49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ab/>
        <w:t>Neste ponto, constata-se que, além do preenchimento do requisito da necessidade, a medida assegurou o direito à água, pois, através dela, garantiu o acesso, a abundância e a água potável a todos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2"/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, observando os arts. 10, 11.1 e 12 do Pacto de San Salvador.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50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A proporcionalidade - definida como a menor interferência possível no exercício do(s) direito(s) por ela afetado(s)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3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- foi 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cumprida</w:t>
      </w:r>
      <w:r w:rsidR="008167B2" w:rsidRPr="009A6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porquanto a restrição do direito à propriedade ocorreu em caráter temporário e excepcional, somente após a SEFAH decretar a emergência da medida. Note-se que o direito do Povo Pichicha aos seus costumes e tradições foi minimamente restringido, pois além de não colocada em perigo a sua subsistência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4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, a medida não obstaculizou o ingresso dos sacerdotes na região para realizar seus cultos. </w:t>
      </w:r>
    </w:p>
    <w:p w:rsidR="009B571F" w:rsidRPr="009A604C" w:rsidRDefault="00863CA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51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A medida observou a legalidade,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pois a legislação interna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permite que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 SEFAH adot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medidas de urgência, como o ingresso provisório de seus funcionários na propriedade privada, para o fornecimento de água potável a populações impactadas. Atingiu-se o fim legítimo, pois, com a garantia de água potável, não se obstaculizou o acesso a direitos básicos para a sobrevivência do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indígenas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e dos camponeses, atingindo o interesse social. Por fim, sinala-se que são inaplicáveis os arts. 16.5 do Convênio 169 da OIT e 10 da DNUDPI, pois para o pagamento de indenização é imprescindível a transferência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dos indígenas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para outras terras.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52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Estado mesmo diante da ausência de certeza científica absoluta sobre os riscos ambientais</w:t>
      </w:r>
      <w:r w:rsidR="008167B2" w:rsidRPr="009A604C">
        <w:rPr>
          <w:rFonts w:ascii="Times New Roman" w:eastAsia="Times New Roman" w:hAnsi="Times New Roman" w:cs="Times New Roman"/>
          <w:sz w:val="24"/>
          <w:szCs w:val="24"/>
        </w:rPr>
        <w:t xml:space="preserve"> do Projeto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adotou políticas preventivas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5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preservação do meio ambiente, pois: (i) estabeleceu licença ambiental como meio de impor restrições, condições e medidas de controle ambiental; (ii) elabor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ou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relatório técnico pela Subsecretaria de Inter-culturalidade; e (iii) produzi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u</w:t>
      </w:r>
      <w:r w:rsidR="008167B2" w:rsidRPr="009A604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EISA, o qual constitui um dos mais importantes instrumentos de proteção do meio ambiente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6"/>
      </w:r>
      <w:r w:rsidR="008167B2" w:rsidRPr="009A604C">
        <w:rPr>
          <w:rFonts w:ascii="Times New Roman" w:eastAsia="Times New Roman" w:hAnsi="Times New Roman" w:cs="Times New Roman"/>
          <w:sz w:val="24"/>
          <w:szCs w:val="24"/>
        </w:rPr>
        <w:t>, observando, assim o Princípio 15 da Declaração do Rio.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53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Nesse sentido, diante da implementação de uma gestão ambiental voltada à concretização dos DESC, </w:t>
      </w:r>
      <w:r w:rsidR="009609EF" w:rsidRPr="009A60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adoção da medida de urgência pela SEFAH corrobora as estratégias de políticas públicas de Sta. Clara dirigidas especificamente </w:t>
      </w:r>
      <w:r w:rsidR="008167B2" w:rsidRPr="009A604C">
        <w:rPr>
          <w:rFonts w:ascii="Times New Roman" w:eastAsia="Times New Roman" w:hAnsi="Times New Roman" w:cs="Times New Roman"/>
          <w:sz w:val="24"/>
          <w:szCs w:val="24"/>
        </w:rPr>
        <w:t>à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proteção </w:t>
      </w:r>
      <w:r w:rsidR="008167B2" w:rsidRPr="009A604C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população frente a eventuais impactos adversos vinculados à atividade empresarial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7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54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O Estado tampouco violou o direito</w:t>
      </w:r>
      <w:r w:rsidR="008E4315" w:rsidRPr="009A604C">
        <w:rPr>
          <w:rFonts w:ascii="Times New Roman" w:eastAsia="Times New Roman" w:hAnsi="Times New Roman" w:cs="Times New Roman"/>
          <w:sz w:val="24"/>
          <w:szCs w:val="24"/>
        </w:rPr>
        <w:t xml:space="preserve"> ao desenvolvimento progressivo. U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ma vez que o desenvolvimento é um compromisso com as possibilidades da liberdade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8"/>
      </w:r>
      <w:r w:rsidR="008E4315" w:rsidRPr="009A6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Sta. Clara tem efetivado os DESC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9"/>
      </w:r>
      <w:r w:rsidR="00F617DD" w:rsidRPr="009A604C">
        <w:rPr>
          <w:rFonts w:ascii="Times New Roman" w:eastAsia="Times New Roman" w:hAnsi="Times New Roman" w:cs="Times New Roman"/>
          <w:sz w:val="24"/>
          <w:szCs w:val="24"/>
        </w:rPr>
        <w:t xml:space="preserve"> pelo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ince</w:t>
      </w:r>
      <w:r w:rsidR="00F617DD" w:rsidRPr="009A604C">
        <w:rPr>
          <w:rFonts w:ascii="Times New Roman" w:eastAsia="Times New Roman" w:hAnsi="Times New Roman" w:cs="Times New Roman"/>
          <w:sz w:val="24"/>
          <w:szCs w:val="24"/>
        </w:rPr>
        <w:t>ntivo à atividade econômica 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adoção de medidas desenvolvimentistas e progressistas, que visam à melhoria da qualidade de vida. Ademais, o TLCD possibil</w:t>
      </w:r>
      <w:r w:rsidR="00F617DD" w:rsidRPr="009A604C">
        <w:rPr>
          <w:rFonts w:ascii="Times New Roman" w:eastAsia="Times New Roman" w:hAnsi="Times New Roman" w:cs="Times New Roman"/>
          <w:sz w:val="24"/>
          <w:szCs w:val="24"/>
        </w:rPr>
        <w:t>ita um maior acesso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F617DD" w:rsidRPr="009A604C">
        <w:rPr>
          <w:rFonts w:ascii="Times New Roman" w:eastAsia="Times New Roman" w:hAnsi="Times New Roman" w:cs="Times New Roman"/>
          <w:sz w:val="24"/>
          <w:szCs w:val="24"/>
        </w:rPr>
        <w:t>DESC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, através de melhor aproveitamento e alocação de recursos e fomento do desenvolvimento</w:t>
      </w:r>
      <w:r w:rsidR="002C3872" w:rsidRPr="009A604C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80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Assim, a exploração mineira representa um meio para Sta. Clara atender aos interesses da população, pois oportuniza o acesso a recursos financeiros e permite que o Estado estabeleça novos programas econômicos, sociais e culturais e implemente políticas públicas que visem fortalecer, ainda mais, seu IDH e PIB. Evidente, portanto, que os benefícios do projeto Wirikuya são compartilhados por todos, inclusive pelo Povo Pichicha.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55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Nem sequer tem lugar a alegação de que a atuação da Defesa Civil constitui medida regressiva que viola o art. 26 da CADH e o art. 1 do Pacto de San Salvador, pois essas medidas coadunam com a CADH quando justificadas por razões de suficiente peso, não podendo o conceito de progressividade ser entendido como uma proibição a elas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1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Ora, a medida foi adotada para assegurar o direito da coletividade à água, o que corrobora com o entendimento desta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2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que o desenvolvimento progressivo deve ser medido sobre o conjunto de toda a população. Quanto à lagoa Pampulla, esta foi recuperada em um curto espaço de tempo, resgatando-se o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status quo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de modo a garantir</w:t>
      </w:r>
      <w:r w:rsidR="00801267" w:rsidRPr="009A604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preservação e</w:t>
      </w:r>
      <w:r w:rsidR="00801267" w:rsidRPr="009A604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conservação do meio ambiente.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56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Sta. Clara também respeitou a autodeterminação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3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do Povo Pichicha e, por consectário, o art. 26 da CADH, pois as decisões vinculadas ao Proje</w:t>
      </w:r>
      <w:r w:rsidR="00801267" w:rsidRPr="009A604C">
        <w:rPr>
          <w:rFonts w:ascii="Times New Roman" w:eastAsia="Times New Roman" w:hAnsi="Times New Roman" w:cs="Times New Roman"/>
          <w:sz w:val="24"/>
          <w:szCs w:val="24"/>
        </w:rPr>
        <w:t>to Wirikuya foram tomadas pela APP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e foi resguardada a estreita relação entre o Povo e suas terras e recursos naturais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4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permitindo-lhes o acesso às adjacências do riacho Mandí para realizar seus cultos religiosos.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 w:rsidR="009B571F" w:rsidRPr="009A604C">
        <w:rPr>
          <w:rFonts w:ascii="Times New Roman" w:eastAsia="Times New Roman" w:hAnsi="Times New Roman" w:cs="Times New Roman"/>
          <w:b/>
          <w:sz w:val="24"/>
          <w:szCs w:val="24"/>
        </w:rPr>
        <w:t xml:space="preserve"> Da inocorrência de violação ao art. 5 da CADH em face do Povo Pichicha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57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Como referido (§</w:t>
      </w:r>
      <w:r w:rsidR="0060453C">
        <w:rPr>
          <w:rFonts w:ascii="Times New Roman" w:eastAsia="Times New Roman" w:hAnsi="Times New Roman" w:cs="Times New Roman"/>
          <w:sz w:val="24"/>
          <w:szCs w:val="24"/>
        </w:rPr>
        <w:t xml:space="preserve"> 26)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a integridade pessoal abrange a integridade física, psíquica e moral. Portanto, a alegação de violação à integridade cultural embasada no art. 5.1 vilipendia a exegese do referido art. e o entendimento desta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5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que es</w:t>
      </w:r>
      <w:r w:rsidR="008E6F48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a não está vinculada ao art. 5 da CADH. Ademais, tal argumento não se sustenta, uma vez que Sta. Clara não impossibilitou o desenvolvimento e as demonstrações culturais. 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58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</w:r>
      <w:r w:rsidR="008E6F48" w:rsidRPr="009A60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integridade física do Povo Pichicha foi resguardada, pois o breve racionamento do fornecimento de água não afetou o seu direito à saúde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6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6F48" w:rsidRPr="009A604C">
        <w:rPr>
          <w:rFonts w:ascii="Times New Roman" w:eastAsia="Times New Roman" w:hAnsi="Times New Roman" w:cs="Times New Roman"/>
          <w:sz w:val="24"/>
          <w:szCs w:val="24"/>
        </w:rPr>
        <w:t xml:space="preserve"> já que não houve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consumo de água contaminada. Pelo contrário, ao determinar a captação provisória da água no riacho Mandí, Sta. Clara preveniu eventuais enfermidades decorrentes de sua falta, </w:t>
      </w:r>
      <w:r w:rsidR="008E6F48" w:rsidRPr="009A604C">
        <w:rPr>
          <w:rFonts w:ascii="Times New Roman" w:eastAsia="Times New Roman" w:hAnsi="Times New Roman" w:cs="Times New Roman"/>
          <w:sz w:val="24"/>
          <w:szCs w:val="24"/>
        </w:rPr>
        <w:t>sem fazer uso da força para adentrar n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o território. Também não prospera o argumento de violação à integridade psíquica e moral, pois o Povo Pichicha não foi separado de suas terras tradicionais, o que para esta Corte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7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ensejaria tais violações. 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59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Tampouco a restrição ao direito de propriedade submeteu o Povo Pichicha a uma situação de desproteção ou vulnerabilidade extrema, apta a violar, conforme </w:t>
      </w:r>
      <w:r w:rsidR="000878BD" w:rsidRPr="009A604C">
        <w:rPr>
          <w:rFonts w:ascii="Times New Roman" w:eastAsia="Times New Roman" w:hAnsi="Times New Roman" w:cs="Times New Roman"/>
          <w:sz w:val="24"/>
          <w:szCs w:val="24"/>
        </w:rPr>
        <w:t>esta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8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o art. 5.1, pois (i) o ingresso em território sagrado da comunidade deu-se em salvaguarda de direitos coletivos; (ii) a captação provisória de água garantiu o resguardo de sua integridade e subsistência; e (iii) o ingresso da Defesa Civil traduz-se justamente na obrigação positiva do Estado em adotar medidas para satisfazer a dignidade do Povo Pichicha em situação de risco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9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60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Igualmente, não se violou o art. 5.2 da CADH, pois não houve tratamento cruel, desumano ou degradante. Sta. Clara não submeteu o Povo Pichicha a sentimento de temor e angústia, visto que jamais determinou a necessidade de deslocamento ou transferência de suas terras. Tampouco houve tortura, uma vez não preenchidos os requisitos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sine qua non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outrora referidos (§</w:t>
      </w:r>
      <w:r w:rsidR="0060453C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), para que a mesma se consumasse.  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2.5</w:t>
      </w:r>
      <w:r w:rsidR="00045E5E" w:rsidRPr="009A604C">
        <w:rPr>
          <w:rFonts w:ascii="Times New Roman" w:eastAsia="Times New Roman" w:hAnsi="Times New Roman" w:cs="Times New Roman"/>
          <w:b/>
          <w:sz w:val="24"/>
          <w:szCs w:val="24"/>
        </w:rPr>
        <w:t xml:space="preserve"> Da inocorrência de violação aos</w:t>
      </w:r>
      <w:r w:rsidR="009B571F" w:rsidRPr="009A604C">
        <w:rPr>
          <w:rFonts w:ascii="Times New Roman" w:eastAsia="Times New Roman" w:hAnsi="Times New Roman" w:cs="Times New Roman"/>
          <w:b/>
          <w:sz w:val="24"/>
          <w:szCs w:val="24"/>
        </w:rPr>
        <w:t xml:space="preserve"> arts. 8 e 25 da CADH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61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O art. 8 da CADH assegura o direito ao devido processo, o qual remete a requisitos necessários para garantia de defesa adequada do indivíduo frente a fatos que possam atingir seus direitos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0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O art. 25 prevê o dever do Estado de garantir, àqueles sob sua jurisdição, recursos judiciais efetivos contra atos que violem seus direitos fundamentais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1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Essas obrigações devem ser observada</w:t>
      </w:r>
      <w:r w:rsidR="000878BD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nos procedimentos administrativos e judiciais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2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Em vista da inter-relação desses dispositivos, 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3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já decidiu que embora sejam autônomos e possuam conteúdo material próprio, devem ser analisados conjuntamente, nas circunstâncias do caso concreto. 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62</w:t>
      </w:r>
      <w:r w:rsidR="00242BFD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2BFD" w:rsidRPr="009A604C">
        <w:rPr>
          <w:rFonts w:ascii="Times New Roman" w:eastAsia="Times New Roman" w:hAnsi="Times New Roman" w:cs="Times New Roman"/>
          <w:sz w:val="24"/>
          <w:szCs w:val="24"/>
        </w:rPr>
        <w:tab/>
      </w:r>
      <w:r w:rsidR="00AA2D97" w:rsidRPr="009A604C">
        <w:rPr>
          <w:rFonts w:ascii="Times New Roman" w:eastAsia="Times New Roman" w:hAnsi="Times New Roman" w:cs="Times New Roman"/>
          <w:sz w:val="24"/>
          <w:szCs w:val="24"/>
        </w:rPr>
        <w:t>No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marco </w:t>
      </w:r>
      <w:r w:rsidR="000878BD" w:rsidRPr="009A604C">
        <w:rPr>
          <w:rFonts w:ascii="Times New Roman" w:eastAsia="Times New Roman" w:hAnsi="Times New Roman" w:cs="Times New Roman"/>
          <w:sz w:val="24"/>
          <w:szCs w:val="24"/>
        </w:rPr>
        <w:t>desses arts.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não se pode abranger questões r</w:t>
      </w:r>
      <w:r w:rsidR="000878BD" w:rsidRPr="009A604C">
        <w:rPr>
          <w:rFonts w:ascii="Times New Roman" w:eastAsia="Times New Roman" w:hAnsi="Times New Roman" w:cs="Times New Roman"/>
          <w:sz w:val="24"/>
          <w:szCs w:val="24"/>
        </w:rPr>
        <w:t>elativas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aos processos judicias que tramitaram em Madruga, pois imputá-los à Sta. Clara implica admitir a intervenção de um Estado no poder judiciário de outro, violando-se a soberania de Madruga. Ademais, recorda-se que </w:t>
      </w:r>
      <w:r w:rsidR="000878BD" w:rsidRPr="009A604C">
        <w:rPr>
          <w:rFonts w:ascii="Times New Roman" w:eastAsia="Times New Roman" w:hAnsi="Times New Roman" w:cs="Times New Roman"/>
          <w:sz w:val="24"/>
          <w:szCs w:val="24"/>
        </w:rPr>
        <w:t>esse Estado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aderiu à competência jurisdicional desta Casa, de modo que se as supostas vítimas en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>tendem que houve tal violação n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aqueles processos, devem acudir ao SIDH contra Madruga. O fato de as sentenças </w:t>
      </w:r>
      <w:r w:rsidR="00234A84" w:rsidRPr="009A604C">
        <w:rPr>
          <w:rFonts w:ascii="Times New Roman" w:eastAsia="Times New Roman" w:hAnsi="Times New Roman" w:cs="Times New Roman"/>
          <w:sz w:val="24"/>
          <w:szCs w:val="24"/>
        </w:rPr>
        <w:t xml:space="preserve">desta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Casa </w:t>
      </w:r>
      <w:r w:rsidR="00234A84" w:rsidRPr="009A604C">
        <w:rPr>
          <w:rFonts w:ascii="Times New Roman" w:eastAsia="Times New Roman" w:hAnsi="Times New Roman" w:cs="Times New Roman"/>
          <w:sz w:val="24"/>
          <w:szCs w:val="24"/>
        </w:rPr>
        <w:t>em face desse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Estado terem baixo grau de cumprimento não </w:t>
      </w:r>
      <w:r w:rsidR="00617F56" w:rsidRPr="009A604C">
        <w:rPr>
          <w:rFonts w:ascii="Times New Roman" w:eastAsia="Times New Roman" w:hAnsi="Times New Roman" w:cs="Times New Roman"/>
          <w:sz w:val="24"/>
          <w:szCs w:val="24"/>
        </w:rPr>
        <w:t>é suficiente para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imputar à Sta. Clara a responsabilidade por fatos alheios ao seu judiciário, pois a CADH estabelece </w:t>
      </w:r>
      <w:r w:rsidR="007164E6" w:rsidRPr="009A604C">
        <w:rPr>
          <w:rFonts w:ascii="Times New Roman" w:eastAsia="Times New Roman" w:hAnsi="Times New Roman" w:cs="Times New Roman"/>
          <w:sz w:val="24"/>
          <w:szCs w:val="24"/>
        </w:rPr>
        <w:t>meios</w:t>
      </w:r>
      <w:r w:rsidR="00654B40" w:rsidRPr="009A604C">
        <w:rPr>
          <w:rFonts w:ascii="Times New Roman" w:eastAsia="Times New Roman" w:hAnsi="Times New Roman" w:cs="Times New Roman"/>
          <w:sz w:val="24"/>
          <w:szCs w:val="24"/>
        </w:rPr>
        <w:t xml:space="preserve"> para cumprir e executar as sentenças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desta Corte (arts. 62.1, 63.1, 67 e 68) e a faculta levar à Assembleia Geral da OEA (art. 65) os casos de descumprimento.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63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Todos os processos – cíveis, penais e administrativos – que tramitaram em Sta. Clara observaram as formalidades do devido proce</w:t>
      </w:r>
      <w:r w:rsidR="0001707D" w:rsidRPr="009A604C">
        <w:rPr>
          <w:rFonts w:ascii="Times New Roman" w:eastAsia="Times New Roman" w:hAnsi="Times New Roman" w:cs="Times New Roman"/>
          <w:sz w:val="24"/>
          <w:szCs w:val="24"/>
        </w:rPr>
        <w:t>sso, como se passa a demonstrar.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2.5.1</w:t>
      </w:r>
      <w:r w:rsidR="009B571F" w:rsidRPr="009A604C">
        <w:rPr>
          <w:rFonts w:ascii="Times New Roman" w:eastAsia="Times New Roman" w:hAnsi="Times New Roman" w:cs="Times New Roman"/>
          <w:b/>
          <w:sz w:val="24"/>
          <w:szCs w:val="24"/>
        </w:rPr>
        <w:t xml:space="preserve"> Da inocorrência de violação dos arts. 8 e 25 da CADH em face da Família Camana: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64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Os processos relacionado</w:t>
      </w:r>
      <w:r w:rsidR="00681C2F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à família Camana foram analisados de forma independente e imparcial, por autoridades previamente competentes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4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(os Juizados e Tribunais Civis Federais de Sta. Clara e a CSJSC), resguardando a igualdade de armas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5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 o prazo razoável, pois transcorridos não mais do que 3 anos para o</w:t>
      </w:r>
      <w:r w:rsidR="00B95FB0" w:rsidRPr="009A604C">
        <w:rPr>
          <w:rFonts w:ascii="Times New Roman" w:eastAsia="Times New Roman" w:hAnsi="Times New Roman" w:cs="Times New Roman"/>
          <w:sz w:val="24"/>
          <w:szCs w:val="24"/>
        </w:rPr>
        <w:t xml:space="preserve"> seu</w:t>
      </w:r>
      <w:r w:rsidR="00B10554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julgamento</w:t>
      </w:r>
      <w:r w:rsidR="00B10554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pela última instância de Sta. Clara, sendo irrefutável o resguardo ao acesso ao duplo grau de jurisdição (art. 8.2.d da CADH).</w:t>
      </w:r>
    </w:p>
    <w:p w:rsidR="009B571F" w:rsidRDefault="00C20752" w:rsidP="00614087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65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Quanto ao processo penal, recorda-se que o mero desprovimento do recurso não enseja violação ao art. 25 da CADH, pois, para 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6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essa norma assegura a possibilidade de recorrer, mas não garante resultado favorável. Ademais, os recursos foram eficazes, respeitando a razoabilidade dos prazos (art. 8) e celeridade do processo (art. 25). O prazo de pouco mais de 3 anos foi absolutamente razoável, tendo em vista os requisitos desta Corte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7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para aferi-lo: (i) a complexidade da causa; (ii) a conduta das autoridades judiciais; (iii) a atividade processual do(s) interessado(s); e (iv) o efeito gerado na situação jurídica dos envolvidos. Tratou-se de causa complexa, pois exigiu a análise de múltiplos fatos ocorridos fora de Sta. Clara, da conduta de pessoas físicas e jurídicas e cooperação jurídica internacional. As autoridades foram diligentes na condução do feito, julgando-o de modo célere e analisando documentos consulares de Madruga. Por outro lado, a conduta dos interessados foi nula, eis que sequer solicitaram a tramitação preferencial ou mais célere do processo. E não houve prejuízo à situação jurídica das partes, pois </w:t>
      </w:r>
      <w:r w:rsidR="005A6A44" w:rsidRPr="009A604C">
        <w:rPr>
          <w:rFonts w:ascii="Times New Roman" w:eastAsia="Times New Roman" w:hAnsi="Times New Roman" w:cs="Times New Roman"/>
          <w:sz w:val="24"/>
          <w:szCs w:val="24"/>
        </w:rPr>
        <w:t xml:space="preserve">além do lapso temporal não influenciar negativamente na situação jurídica das partes,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se tinha conhecimento </w:t>
      </w:r>
      <w:r w:rsidR="005A6A44" w:rsidRPr="009A604C">
        <w:rPr>
          <w:rFonts w:ascii="Times New Roman" w:eastAsia="Times New Roman" w:hAnsi="Times New Roman" w:cs="Times New Roman"/>
          <w:sz w:val="24"/>
          <w:szCs w:val="24"/>
        </w:rPr>
        <w:t>dos responsáveis pelo delito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A44" w:rsidRPr="009A604C">
        <w:rPr>
          <w:rFonts w:ascii="Times New Roman" w:eastAsia="Times New Roman" w:hAnsi="Times New Roman" w:cs="Times New Roman"/>
          <w:sz w:val="24"/>
          <w:szCs w:val="24"/>
        </w:rPr>
        <w:t>do ano 1992 e havia inquérito penal em curso sobre o homicídio de 2002 perante as autoridades competentes em Madruga.</w:t>
      </w:r>
      <w:r w:rsidR="008F0C49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53C">
        <w:rPr>
          <w:rFonts w:ascii="Times New Roman" w:eastAsia="Times New Roman" w:hAnsi="Times New Roman" w:cs="Times New Roman"/>
          <w:sz w:val="24"/>
          <w:szCs w:val="24"/>
        </w:rPr>
        <w:t xml:space="preserve">No tocante ao processo cível, a decisão da CSJSC sanou eventual </w:t>
      </w:r>
      <w:r w:rsidR="0060453C" w:rsidRPr="0060453C">
        <w:rPr>
          <w:rFonts w:ascii="Times New Roman" w:eastAsia="Times New Roman" w:hAnsi="Times New Roman" w:cs="Times New Roman"/>
          <w:i/>
          <w:sz w:val="24"/>
          <w:szCs w:val="24"/>
        </w:rPr>
        <w:t>error in judicando</w:t>
      </w:r>
      <w:r w:rsidR="0060453C">
        <w:rPr>
          <w:rFonts w:ascii="Times New Roman" w:eastAsia="Times New Roman" w:hAnsi="Times New Roman" w:cs="Times New Roman"/>
          <w:sz w:val="24"/>
          <w:szCs w:val="24"/>
        </w:rPr>
        <w:t>, afastando, assim possível violação ao art. 25; além disso, a transação civil aceita pelas supostas vítimas põe fim à controvérsia, não podendo esta Casa revisá-la, sob pena de incidir em quarta instância, como já referido (§ 23).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66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Ne</w:t>
      </w:r>
      <w:r w:rsidR="007F7A53" w:rsidRPr="009A604C">
        <w:rPr>
          <w:rFonts w:ascii="Times New Roman" w:eastAsia="Times New Roman" w:hAnsi="Times New Roman" w:cs="Times New Roman"/>
          <w:sz w:val="24"/>
          <w:szCs w:val="24"/>
        </w:rPr>
        <w:t xml:space="preserve">m mesmo a não extradição viola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os arts. 8 e 25 da CADH. Recorda-se que para 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8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os procedimentos de extradição devem respeitar requisitos formais, o que não ocorreu neste caso</w:t>
      </w:r>
      <w:r w:rsidR="00416644" w:rsidRPr="009A604C">
        <w:rPr>
          <w:rFonts w:ascii="Times New Roman" w:eastAsia="Times New Roman" w:hAnsi="Times New Roman" w:cs="Times New Roman"/>
          <w:sz w:val="24"/>
          <w:szCs w:val="24"/>
        </w:rPr>
        <w:t>, pois não foram observada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F7A53" w:rsidRPr="009A604C">
        <w:rPr>
          <w:rFonts w:ascii="Times New Roman" w:eastAsia="Times New Roman" w:hAnsi="Times New Roman" w:cs="Times New Roman"/>
          <w:sz w:val="24"/>
          <w:szCs w:val="24"/>
        </w:rPr>
        <w:t>cert</w:t>
      </w:r>
      <w:r w:rsidR="00416644" w:rsidRPr="009A60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7F7A53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0C49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644" w:rsidRPr="009A604C">
        <w:rPr>
          <w:rFonts w:ascii="Times New Roman" w:eastAsia="Times New Roman" w:hAnsi="Times New Roman" w:cs="Times New Roman"/>
          <w:sz w:val="24"/>
          <w:szCs w:val="24"/>
        </w:rPr>
        <w:t>condições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Convenção Interamericana sobre Extradição: (i) o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extraditando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>(s) não havia</w:t>
      </w:r>
      <w:r w:rsidR="007F7A53" w:rsidRPr="009A604C">
        <w:rPr>
          <w:rFonts w:ascii="Times New Roman" w:eastAsia="Times New Roman" w:hAnsi="Times New Roman" w:cs="Times New Roman"/>
          <w:sz w:val="24"/>
          <w:szCs w:val="24"/>
        </w:rPr>
        <w:t>(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>m</w:t>
      </w:r>
      <w:r w:rsidR="007F7A53" w:rsidRPr="009A60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sido declarado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culpado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por investigação prévia 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>e não estava(m)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sendo processado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(art. 1)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 xml:space="preserve">, pois o pedido foi postulado para iniciar investigação e colhimento de provas, o que seria mais adequado através de carta rogatória, conforme </w:t>
      </w:r>
      <w:r w:rsidR="00416644" w:rsidRPr="009A604C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 xml:space="preserve">arts. 2.b e 16 da Convenção Americana sobre Cartas Rogatórias;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 xml:space="preserve">não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hav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>ia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ordem de prisão ou equivalente em face do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extraditando</w:t>
      </w:r>
      <w:r w:rsidR="0008583F" w:rsidRPr="009A604C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(art. 11.1.a); (iii) </w:t>
      </w:r>
      <w:r w:rsidR="007F7A53" w:rsidRPr="009A604C">
        <w:rPr>
          <w:rFonts w:ascii="Times New Roman" w:eastAsia="Times New Roman" w:hAnsi="Times New Roman" w:cs="Times New Roman"/>
          <w:sz w:val="24"/>
          <w:szCs w:val="24"/>
        </w:rPr>
        <w:t>havia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prescri</w:t>
      </w:r>
      <w:r w:rsidR="007F7A53" w:rsidRPr="009A604C">
        <w:rPr>
          <w:rFonts w:ascii="Times New Roman" w:eastAsia="Times New Roman" w:hAnsi="Times New Roman" w:cs="Times New Roman"/>
          <w:sz w:val="24"/>
          <w:szCs w:val="24"/>
        </w:rPr>
        <w:t>to a ação penal pelo crime de lavagem de ativos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(art. 4.2);</w:t>
      </w:r>
      <w:r w:rsidR="00416644" w:rsidRPr="009A604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(iv) o pedido </w:t>
      </w:r>
      <w:r w:rsidR="007F7A53" w:rsidRPr="009A604C">
        <w:rPr>
          <w:rFonts w:ascii="Times New Roman" w:eastAsia="Times New Roman" w:hAnsi="Times New Roman" w:cs="Times New Roman"/>
          <w:sz w:val="24"/>
          <w:szCs w:val="24"/>
        </w:rPr>
        <w:t xml:space="preserve">não foi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feito por agente diplomático ou consular do Estado requerente</w:t>
      </w:r>
      <w:r w:rsidR="007F7A53" w:rsidRPr="009A604C">
        <w:rPr>
          <w:rFonts w:ascii="Times New Roman" w:eastAsia="Times New Roman" w:hAnsi="Times New Roman" w:cs="Times New Roman"/>
          <w:sz w:val="24"/>
          <w:szCs w:val="24"/>
        </w:rPr>
        <w:t>, mas pela Procuradoria Geral de Madruga (art. 10)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Ademais, o art. 9.1 da Convenção Interamericana sobre Extradição assegura a não extradição de nacional, quando houver disposição constitucional que a ampare, tal como ocorre neste caso. </w:t>
      </w:r>
      <w:r w:rsidR="002E6B7B" w:rsidRPr="009A604C">
        <w:rPr>
          <w:rFonts w:ascii="Times New Roman" w:eastAsia="Times New Roman" w:hAnsi="Times New Roman" w:cs="Times New Roman"/>
          <w:sz w:val="24"/>
          <w:szCs w:val="24"/>
        </w:rPr>
        <w:t>Recorde-se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que não</w:t>
      </w:r>
      <w:r w:rsidR="00416644" w:rsidRPr="009A604C">
        <w:rPr>
          <w:rFonts w:ascii="Times New Roman" w:eastAsia="Times New Roman" w:hAnsi="Times New Roman" w:cs="Times New Roman"/>
          <w:sz w:val="24"/>
          <w:szCs w:val="24"/>
        </w:rPr>
        <w:t xml:space="preserve"> se trata de disposição isolada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no marco constitucional dos Estados membros do SIDH, eis que Brasil</w:t>
      </w:r>
      <w:r w:rsidR="009B571F" w:rsidRPr="009A604C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99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 Costa Rica</w:t>
      </w:r>
      <w:r w:rsidR="009B571F" w:rsidRPr="009A604C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00"/>
      </w:r>
      <w:r w:rsidR="002E6B7B" w:rsidRPr="009A604C">
        <w:rPr>
          <w:rFonts w:ascii="Times New Roman" w:eastAsia="Times New Roman" w:hAnsi="Times New Roman" w:cs="Times New Roman"/>
          <w:sz w:val="24"/>
          <w:szCs w:val="24"/>
        </w:rPr>
        <w:t xml:space="preserve"> também não extraditam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nacionais. 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67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Tampouco há violação à obrigação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aut dedere aut judicare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, pois o Tratado Bilateral de Extradição entre Sta. Clara e Madruga </w:t>
      </w:r>
      <w:r w:rsidR="00DB53F3" w:rsidRPr="009A604C">
        <w:rPr>
          <w:rFonts w:ascii="Times New Roman" w:eastAsia="Times New Roman" w:hAnsi="Times New Roman" w:cs="Times New Roman"/>
          <w:sz w:val="24"/>
          <w:szCs w:val="24"/>
        </w:rPr>
        <w:t>veda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 abertura de investigações penais contra pessoas investigadas pelos mesmos fatos e delitos na outra jurisdição. </w:t>
      </w:r>
      <w:r w:rsidR="00DB53F3" w:rsidRPr="009A604C">
        <w:rPr>
          <w:rFonts w:ascii="Times New Roman" w:eastAsia="Times New Roman" w:hAnsi="Times New Roman" w:cs="Times New Roman"/>
          <w:sz w:val="24"/>
          <w:szCs w:val="24"/>
        </w:rPr>
        <w:t>Logo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, a impossibilidade da extradição não constitui mecanismo </w:t>
      </w:r>
      <w:r w:rsidR="00DB53F3" w:rsidRPr="009A604C">
        <w:rPr>
          <w:rFonts w:ascii="Times New Roman" w:eastAsia="Times New Roman" w:hAnsi="Times New Roman" w:cs="Times New Roman"/>
          <w:sz w:val="24"/>
          <w:szCs w:val="24"/>
        </w:rPr>
        <w:t>que favorece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ou asse</w:t>
      </w:r>
      <w:r w:rsidR="00DB53F3" w:rsidRPr="009A604C">
        <w:rPr>
          <w:rFonts w:ascii="Times New Roman" w:eastAsia="Times New Roman" w:hAnsi="Times New Roman" w:cs="Times New Roman"/>
          <w:sz w:val="24"/>
          <w:szCs w:val="24"/>
        </w:rPr>
        <w:t>gura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 impunidade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1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, mas proporciona a ampliação de </w:t>
      </w:r>
      <w:r w:rsidR="00DB53F3" w:rsidRPr="009A604C">
        <w:rPr>
          <w:rFonts w:ascii="Times New Roman" w:eastAsia="Times New Roman" w:hAnsi="Times New Roman" w:cs="Times New Roman"/>
          <w:sz w:val="24"/>
          <w:szCs w:val="24"/>
        </w:rPr>
        <w:t>proteção aos nacionais e garante 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apreciação segundo legislação </w:t>
      </w:r>
      <w:r w:rsidR="00416644" w:rsidRPr="009A604C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53F3" w:rsidRPr="009A604C">
        <w:rPr>
          <w:rFonts w:ascii="Times New Roman" w:eastAsia="Times New Roman" w:hAnsi="Times New Roman" w:cs="Times New Roman"/>
          <w:sz w:val="24"/>
          <w:szCs w:val="24"/>
        </w:rPr>
        <w:t>Ainda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não se tratava de crimes que implicam graves violações aos direitos humanos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2"/>
      </w:r>
      <w:r w:rsidR="00DB53F3" w:rsidRPr="009A604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3F3" w:rsidRPr="009A604C">
        <w:rPr>
          <w:rFonts w:ascii="Times New Roman" w:eastAsia="Times New Roman" w:hAnsi="Times New Roman" w:cs="Times New Roman"/>
          <w:sz w:val="24"/>
          <w:szCs w:val="24"/>
        </w:rPr>
        <w:t>não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havia a comprovação dos atos delituosos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3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não sendo imperativo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644" w:rsidRPr="009A604C">
        <w:rPr>
          <w:rFonts w:ascii="Times New Roman" w:eastAsia="Times New Roman" w:hAnsi="Times New Roman" w:cs="Times New Roman"/>
          <w:sz w:val="24"/>
          <w:szCs w:val="24"/>
        </w:rPr>
        <w:t>o dever de extraditar</w:t>
      </w:r>
      <w:r w:rsidR="00DB53F3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76F" w:rsidRPr="009A604C" w:rsidRDefault="00C20752" w:rsidP="00614087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68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 xml:space="preserve">Quanto à competência extraterritorial do judiciário de Sta. Clara, pontua-se que embora ampliada a LJECTP, apenas há </w:t>
      </w:r>
      <w:r w:rsidR="00A74CA4" w:rsidRPr="009A604C">
        <w:rPr>
          <w:rFonts w:ascii="Times New Roman" w:eastAsia="Times New Roman" w:hAnsi="Times New Roman" w:cs="Times New Roman"/>
          <w:sz w:val="24"/>
          <w:szCs w:val="24"/>
        </w:rPr>
        <w:t xml:space="preserve">competências nos casos de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genocídio, crimes de guerra ou contra </w:t>
      </w:r>
      <w:r w:rsidR="009B571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humanidade.</w:t>
      </w:r>
      <w:r w:rsidR="00D077E8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75CF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Sublinhe-se que embora o art. 20 da referida Lei estabeleça que possíveis atos de corrupção praticados por empre</w:t>
      </w:r>
      <w:r w:rsidR="00A74CA4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sas com sede em Sta. Clara possam ser objeto de ação penal </w:t>
      </w:r>
      <w:r w:rsidR="00C75CF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perante sua jurisdiç</w:t>
      </w:r>
      <w:r w:rsidR="00A74CA4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ão, mesmo</w:t>
      </w:r>
      <w:r w:rsidR="00416644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</w:t>
      </w:r>
      <w:r w:rsidR="00C75CF9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ocorridos no exterior, </w:t>
      </w:r>
      <w:r w:rsidR="00416644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deve-se</w:t>
      </w:r>
      <w:r w:rsidR="0063476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notar que não</w:t>
      </w:r>
      <w:r w:rsidR="00A74CA4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 trata de obrigação imperativa</w:t>
      </w:r>
      <w:r w:rsidR="0060453C">
        <w:rPr>
          <w:rFonts w:ascii="Times New Roman" w:eastAsia="Times New Roman" w:hAnsi="Times New Roman" w:cs="Times New Roman"/>
          <w:color w:val="auto"/>
          <w:sz w:val="24"/>
          <w:szCs w:val="24"/>
        </w:rPr>
        <w:t>. Ademais, como referido (§</w:t>
      </w:r>
      <w:r w:rsidR="0063476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453C">
        <w:rPr>
          <w:rFonts w:ascii="Times New Roman" w:eastAsia="Times New Roman" w:hAnsi="Times New Roman" w:cs="Times New Roman"/>
          <w:color w:val="auto"/>
          <w:sz w:val="24"/>
          <w:szCs w:val="24"/>
        </w:rPr>
        <w:t>30</w:t>
      </w:r>
      <w:r w:rsidR="0063476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), as empresas envolvidas no suposto suborno </w:t>
      </w:r>
      <w:r w:rsidR="00602EDA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63476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membros da Procu</w:t>
      </w:r>
      <w:r w:rsidR="00602EDA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radoria de Madruga são filiais </w:t>
      </w:r>
      <w:r w:rsidR="0063476F" w:rsidRPr="009A604C">
        <w:rPr>
          <w:rFonts w:ascii="Times New Roman" w:eastAsia="Times New Roman" w:hAnsi="Times New Roman" w:cs="Times New Roman"/>
          <w:color w:val="auto"/>
          <w:sz w:val="24"/>
          <w:szCs w:val="24"/>
        </w:rPr>
        <w:t>com domicílio naquele Estado, incumbindo a ele jurisdicionar possíveis demandas vinculadas a esses eventos.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69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O fato de Sta. Clara não processar os Srs. Nelson e Klein não viola os arts. 8 e 25 da CADH. O Ministério Público apenas deve propor ação penal se houver evidências da materialidade e autoria do supost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>o delito, o que não ocorre neste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caso. Em relação ao Sr. Nelson, pontua-se que o art. 43.1 da Convenção de Viena sobre Relações Consulares estabelece que o agente consular não fará jus à imunidade diplomática quanto aos atos não realizados no exercício de sua função, pois seus privilégios são restritos à função que exerce e, ao realizar atividades fora da Embaixada, está sujeito a jurisdição do Estado local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4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no caso, Madruga. Ora, o Sr. Nelson não exercia funções referentes ao seu cargo ao encontrar-se com membros do Los Olivos,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 não fazendo jus, portanto, à referida imunidade e cabendo à Madruga investigá-lo, processá-lo e julgá-lo, se assim entendesse adequado. Ademais, o desvio de função enseja apenas sanção administrativa segundo</w:t>
      </w:r>
      <w:r w:rsidR="00416644" w:rsidRPr="009A604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C3872" w:rsidRPr="009A604C">
        <w:rPr>
          <w:rFonts w:ascii="Times New Roman" w:eastAsia="Times New Roman" w:hAnsi="Times New Roman" w:cs="Times New Roman"/>
          <w:sz w:val="24"/>
          <w:szCs w:val="24"/>
        </w:rPr>
        <w:t xml:space="preserve"> legislação de Sta. Clara, a qual foi aplicada, não sendo possível que o Adido fosse processado penalmente por um delito não previsto no Código Penal de Sta. Clara, sob pena de violação ao art. 9 da CADH.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70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Quanto ao Sr. Klein, embora fosse diretor financeiro da Miningcorp no período em que realizados os supos</w:t>
      </w:r>
      <w:r w:rsidR="00C471C1" w:rsidRPr="009A604C">
        <w:rPr>
          <w:rFonts w:ascii="Times New Roman" w:eastAsia="Times New Roman" w:hAnsi="Times New Roman" w:cs="Times New Roman"/>
          <w:sz w:val="24"/>
          <w:szCs w:val="24"/>
        </w:rPr>
        <w:t>tos depósitos bancários ao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Los Olivos, recorda-se que a LJECTP</w:t>
      </w:r>
      <w:r w:rsidR="00F515C9" w:rsidRPr="009A604C">
        <w:rPr>
          <w:rFonts w:ascii="Times New Roman" w:eastAsia="Times New Roman" w:hAnsi="Times New Roman" w:cs="Times New Roman"/>
          <w:sz w:val="24"/>
          <w:szCs w:val="24"/>
        </w:rPr>
        <w:t xml:space="preserve"> só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amplia a com</w:t>
      </w:r>
      <w:r w:rsidR="00F515C9" w:rsidRPr="009A604C">
        <w:rPr>
          <w:rFonts w:ascii="Times New Roman" w:eastAsia="Times New Roman" w:hAnsi="Times New Roman" w:cs="Times New Roman"/>
          <w:sz w:val="24"/>
          <w:szCs w:val="24"/>
        </w:rPr>
        <w:t>petência extraterritorial</w:t>
      </w:r>
      <w:r w:rsidR="00D135DD" w:rsidRPr="009A604C">
        <w:rPr>
          <w:rFonts w:ascii="Times New Roman" w:eastAsia="Times New Roman" w:hAnsi="Times New Roman" w:cs="Times New Roman"/>
          <w:sz w:val="24"/>
          <w:szCs w:val="24"/>
        </w:rPr>
        <w:t xml:space="preserve"> para delitos conexos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em matéria cível, não h</w:t>
      </w:r>
      <w:r w:rsidR="00D135DD" w:rsidRPr="009A604C">
        <w:rPr>
          <w:rFonts w:ascii="Times New Roman" w:eastAsia="Times New Roman" w:hAnsi="Times New Roman" w:cs="Times New Roman"/>
          <w:sz w:val="24"/>
          <w:szCs w:val="24"/>
        </w:rPr>
        <w:t xml:space="preserve">avendo amparo para o julgamento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de matéria penal. Nesse sentido, recorda-se que a Convenção Interamericana contra Corrupção estabelece que os Estados-parte devem adotar medidas cabíveis em relação aos delitos tipificados co</w:t>
      </w:r>
      <w:r w:rsidR="00602EDA" w:rsidRPr="009A604C">
        <w:rPr>
          <w:rFonts w:ascii="Times New Roman" w:eastAsia="Times New Roman" w:hAnsi="Times New Roman" w:cs="Times New Roman"/>
          <w:sz w:val="24"/>
          <w:szCs w:val="24"/>
        </w:rPr>
        <w:t>metidos em sua jurisdição (5.1),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 que não é a hipótese desta contenda. 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2.5.2</w:t>
      </w:r>
      <w:r w:rsidR="009B571F" w:rsidRPr="009A604C">
        <w:rPr>
          <w:rFonts w:ascii="Times New Roman" w:eastAsia="Times New Roman" w:hAnsi="Times New Roman" w:cs="Times New Roman"/>
          <w:b/>
          <w:sz w:val="24"/>
          <w:szCs w:val="24"/>
        </w:rPr>
        <w:t xml:space="preserve"> Da inocorrência de violação aos arts. 8 e 25 da CADH em face do Povo Pichicha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71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</w:r>
      <w:r w:rsidR="00D135DD" w:rsidRPr="009A604C">
        <w:rPr>
          <w:rFonts w:ascii="Times New Roman" w:eastAsia="Times New Roman" w:hAnsi="Times New Roman" w:cs="Times New Roman"/>
          <w:sz w:val="24"/>
          <w:szCs w:val="24"/>
        </w:rPr>
        <w:t>Quanto aos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processos apresentados em nome do Povo Pichicha</w:t>
      </w:r>
      <w:r w:rsidR="00D135DD" w:rsidRPr="009A604C">
        <w:rPr>
          <w:rFonts w:ascii="Times New Roman" w:eastAsia="Times New Roman" w:hAnsi="Times New Roman" w:cs="Times New Roman"/>
          <w:sz w:val="24"/>
          <w:szCs w:val="24"/>
        </w:rPr>
        <w:t>, esses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foram julgados de forma independente e imparcial, por autoridade previamente competente (a SEFAH, o Primeiro Juizado Federal Cível de Toronga e a CSJSC) e em prazo razoável, conforme os parâmetros adotados p</w:t>
      </w:r>
      <w:r w:rsidR="0060453C">
        <w:rPr>
          <w:rFonts w:ascii="Times New Roman" w:eastAsia="Times New Roman" w:hAnsi="Times New Roman" w:cs="Times New Roman"/>
          <w:sz w:val="24"/>
          <w:szCs w:val="24"/>
        </w:rPr>
        <w:t>or esta Casa para auferi-los (§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53C">
        <w:rPr>
          <w:rFonts w:ascii="Times New Roman" w:eastAsia="Times New Roman" w:hAnsi="Times New Roman" w:cs="Times New Roman"/>
          <w:sz w:val="24"/>
          <w:szCs w:val="24"/>
        </w:rPr>
        <w:t>65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), já que transcorrido menos de um mês e meio para o administrativo e onze dias para publicar sua decisão.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72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O processo administrativo embora discutisse causa complexa (necessidade de restrição na propriedade Pichicha para garantia de direitos coletivos) foi julgado em menos de um mês e meio, exaurindo quaisquer argumentos de irrazoabilidade do prazo.</w:t>
      </w:r>
      <w:r w:rsidR="007A2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Quanto ao mandado de segurança, não se tratava de causa simples, pois impe</w:t>
      </w:r>
      <w:r w:rsidR="00FF276E" w:rsidRPr="009A604C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dia a análise de ato administrativo da SEFAH em uma situação de estrita emergência. A autoridade judicial, ainda assim, concedeu a medida liminar em favor do Povo Pichicha 11 dias após a interposição da ação, ou seja, mesmo sem cognição plena e exauriente, </w:t>
      </w:r>
      <w:r w:rsidR="00D135DD" w:rsidRPr="009A604C">
        <w:rPr>
          <w:rFonts w:ascii="Times New Roman" w:eastAsia="Times New Roman" w:hAnsi="Times New Roman" w:cs="Times New Roman"/>
          <w:sz w:val="24"/>
          <w:szCs w:val="24"/>
        </w:rPr>
        <w:t>resguardou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os direitos alegados. A atividade processual do Sr. Manuín, todavia, descumpriu a forma procedimental adequada à pretensão, posto que a ação de amparo tem a finalidade meramente restitutória de um direito fundamental e não é a via idônea para pleitos indenizatórios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73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Uma vez que a tutela judicial efetiva (art. 25) exige que o Estado preveja recursos simples, rápidos e efetivos, não basta que existam formalmente, devendo dar resultados ou respostas às violações de direitos humanos, como determina este Tribunal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5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Diante disto, resta claro que a ação de amparo se mostrou efetiva, sendo capaz de produzir o resultado para o qual foi concebido, qual seja, o de determinar a evacuação do riacho Mandí.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74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Destaca-se que a improcedência das demandas não viola o</w:t>
      </w:r>
      <w:r w:rsidR="00FF276E" w:rsidRPr="009A604C">
        <w:rPr>
          <w:rFonts w:ascii="Times New Roman" w:eastAsia="Times New Roman" w:hAnsi="Times New Roman" w:cs="Times New Roman"/>
          <w:sz w:val="24"/>
          <w:szCs w:val="24"/>
        </w:rPr>
        <w:t xml:space="preserve"> art. 25 da CADH, pois, como </w:t>
      </w:r>
      <w:r w:rsidR="00BE5135">
        <w:rPr>
          <w:rFonts w:ascii="Times New Roman" w:eastAsia="Times New Roman" w:hAnsi="Times New Roman" w:cs="Times New Roman"/>
          <w:sz w:val="24"/>
          <w:szCs w:val="24"/>
        </w:rPr>
        <w:t>referido (§</w:t>
      </w:r>
      <w:r w:rsidR="0060453C">
        <w:rPr>
          <w:rFonts w:ascii="Times New Roman" w:eastAsia="Times New Roman" w:hAnsi="Times New Roman" w:cs="Times New Roman"/>
          <w:sz w:val="24"/>
          <w:szCs w:val="24"/>
        </w:rPr>
        <w:t>65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>), ess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e art. não assegura um resultado favorável, pois podem as supostas vítimas, como ocorreu neste c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 xml:space="preserve">aso, ingressar com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o recurso inidôneo para a sua pretensão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6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.Nesse sentido, pontua-se que o agravo constitucional interposto à CSJSC não respeitou as regras processuais, pois pleiteado </w:t>
      </w:r>
      <w:r w:rsidR="009B571F" w:rsidRPr="009A604C">
        <w:rPr>
          <w:rFonts w:ascii="Times New Roman" w:eastAsia="Times New Roman" w:hAnsi="Times New Roman" w:cs="Times New Roman"/>
          <w:i/>
          <w:sz w:val="24"/>
          <w:szCs w:val="24"/>
        </w:rPr>
        <w:t xml:space="preserve">quantum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indenizatório em ação judicial inidônea para o direito material requerido. Correta, portanto, a atuação do Poder Judiciário de Sta.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Clara que suspendeu a liminar e arquivou a ação por perda do objeto, bem como posterior improcedência do recurso de apelação contra a referida decisão e agravo constitucional perante a CSJSC, forte no princípio da segurança jurídica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7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em decisão devidamente fundamentada.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0752" w:rsidRPr="009A604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20752" w:rsidRPr="009A604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A604C">
        <w:rPr>
          <w:rFonts w:ascii="Times New Roman" w:eastAsia="Times New Roman" w:hAnsi="Times New Roman" w:cs="Times New Roman"/>
          <w:b/>
          <w:sz w:val="24"/>
          <w:szCs w:val="24"/>
        </w:rPr>
        <w:t xml:space="preserve"> Da inocorrência de violação aos arts. 8 e 25 da CADH em face do Povo Orífuna</w:t>
      </w:r>
    </w:p>
    <w:p w:rsidR="00F815B0" w:rsidRPr="009A604C" w:rsidRDefault="00C20752" w:rsidP="00614087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75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A ação de nulidade interposta em nome do Povo Orífuna foi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 igualmente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julgada de forma independente e imparcial, por aut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>oridade previamente competente, 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CSJSC. Ademais, o prazo de 5 meses entre a sua interposição e o seu julgamento respeitou os re</w:t>
      </w:r>
      <w:r w:rsidR="00717864">
        <w:rPr>
          <w:rFonts w:ascii="Times New Roman" w:eastAsia="Times New Roman" w:hAnsi="Times New Roman" w:cs="Times New Roman"/>
          <w:sz w:val="24"/>
          <w:szCs w:val="24"/>
        </w:rPr>
        <w:t>quisitos do prazo razoável (§65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FF276E" w:rsidRPr="009A604C">
        <w:rPr>
          <w:rFonts w:ascii="Times New Roman" w:eastAsia="Times New Roman" w:hAnsi="Times New Roman" w:cs="Times New Roman"/>
          <w:sz w:val="24"/>
          <w:szCs w:val="24"/>
        </w:rPr>
        <w:t xml:space="preserve">pois a ação presumia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a análise</w:t>
      </w:r>
      <w:r w:rsidR="00FF276E" w:rsidRPr="009A604C">
        <w:rPr>
          <w:rFonts w:ascii="Times New Roman" w:eastAsia="Times New Roman" w:hAnsi="Times New Roman" w:cs="Times New Roman"/>
          <w:sz w:val="24"/>
          <w:szCs w:val="24"/>
        </w:rPr>
        <w:t xml:space="preserve"> dos limites da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atuação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 jurisdicional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76E" w:rsidRPr="009A604C">
        <w:rPr>
          <w:rFonts w:ascii="Times New Roman" w:eastAsia="Times New Roman" w:hAnsi="Times New Roman" w:cs="Times New Roman"/>
          <w:sz w:val="24"/>
          <w:szCs w:val="24"/>
        </w:rPr>
        <w:t>de Sta</w:t>
      </w:r>
      <w:r w:rsidR="007A2A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276E" w:rsidRPr="009A604C">
        <w:rPr>
          <w:rFonts w:ascii="Times New Roman" w:eastAsia="Times New Roman" w:hAnsi="Times New Roman" w:cs="Times New Roman"/>
          <w:sz w:val="24"/>
          <w:szCs w:val="24"/>
        </w:rPr>
        <w:t xml:space="preserve"> Clara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em relação às autoridades de Madruga, o que evidencia 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complexidade da causa. Pontua-se que a Presidente da APO não deveria ter interposto ação perante o Judiciário de Sta. Clara, pois a insurgência caberia ao Poder Judiciário de Madruga, já que é esse Estado o responsável pela manutenção do diálogo e por realizar processo de consulta livre, prévia e informada com os indivíduos sob a sua jurisdição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8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o P</w:t>
      </w:r>
      <w:r w:rsidR="00FF276E" w:rsidRPr="009A604C">
        <w:rPr>
          <w:rFonts w:ascii="Times New Roman" w:eastAsia="Times New Roman" w:hAnsi="Times New Roman" w:cs="Times New Roman"/>
          <w:sz w:val="24"/>
          <w:szCs w:val="24"/>
        </w:rPr>
        <w:t xml:space="preserve">ovo Orífuna. </w:t>
      </w:r>
    </w:p>
    <w:p w:rsidR="000464D2" w:rsidRPr="009A604C" w:rsidRDefault="00C20752" w:rsidP="00614087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76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ab/>
      </w:r>
      <w:r w:rsidR="00FF276E" w:rsidRPr="009A604C">
        <w:rPr>
          <w:rFonts w:ascii="Times New Roman" w:eastAsia="Times New Roman" w:hAnsi="Times New Roman" w:cs="Times New Roman"/>
          <w:sz w:val="24"/>
          <w:szCs w:val="24"/>
        </w:rPr>
        <w:t xml:space="preserve">Isto, todavia, não violou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o direito do</w:t>
      </w:r>
      <w:r w:rsidR="00FF276E" w:rsidRPr="009A604C">
        <w:rPr>
          <w:rFonts w:ascii="Times New Roman" w:eastAsia="Times New Roman" w:hAnsi="Times New Roman" w:cs="Times New Roman"/>
          <w:sz w:val="24"/>
          <w:szCs w:val="24"/>
        </w:rPr>
        <w:t xml:space="preserve">s Orífunas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a ser</w:t>
      </w:r>
      <w:r w:rsidR="00FF276E" w:rsidRPr="009A604C">
        <w:rPr>
          <w:rFonts w:ascii="Times New Roman" w:eastAsia="Times New Roman" w:hAnsi="Times New Roman" w:cs="Times New Roman"/>
          <w:sz w:val="24"/>
          <w:szCs w:val="24"/>
        </w:rPr>
        <w:t>em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ouvido</w:t>
      </w:r>
      <w:r w:rsidR="00FF276E" w:rsidRPr="009A604C">
        <w:rPr>
          <w:rFonts w:ascii="Times New Roman" w:eastAsia="Times New Roman" w:hAnsi="Times New Roman" w:cs="Times New Roman"/>
          <w:sz w:val="24"/>
          <w:szCs w:val="24"/>
        </w:rPr>
        <w:t xml:space="preserve">s por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Sta. Clara</w:t>
      </w:r>
      <w:r w:rsidR="00F478FC" w:rsidRPr="009A6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 pois para esta Casa</w:t>
      </w:r>
      <w:r w:rsidR="00973E89" w:rsidRPr="009A604C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09"/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 tal direito prescinde de oralidade. Logo, é evidente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 o ingresso perante o judiciário de Sta. Clara e o oferecimento de resposta devidamente fundamentada à ação de nulidade garantiram o direito d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>os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 Orífunas a serem ouvidos.  </w:t>
      </w:r>
    </w:p>
    <w:p w:rsidR="00F815B0" w:rsidRPr="009A604C" w:rsidRDefault="00C20752" w:rsidP="00F815B0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77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ab/>
        <w:t>No que tange ao direito à tutela judicial efetiva (art. 25), Sta. Clara respeitou o trâmite processual da ação de nulidade, porquanto a pretensão infundada foi funda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softHyphen/>
        <w:t>mentada pela CSJSC, sendo que a sua mera improcedência não viola o art. 25 da CADH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135">
        <w:rPr>
          <w:rFonts w:ascii="Times New Roman" w:eastAsia="Times New Roman" w:hAnsi="Times New Roman" w:cs="Times New Roman"/>
          <w:sz w:val="24"/>
          <w:szCs w:val="24"/>
        </w:rPr>
        <w:t>(§ 74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>). Igualmente, foi correta a decisão de Sta. Clara, já que não houve desrespeito à CADH, quando do mero contato entre a Silverfield e o Povo Orífuna, pois não representou o ato de consulta prévia, cuja realização por empresas é vedada por esta Corte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0"/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5B0" w:rsidRPr="00271CFF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78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ab/>
        <w:t>Isto pois, (i) a apresentação de benefícios à comunidade pela empresa coaduna com o diálogo entre ela e a população; (ii) o Povo Orífuna encontra-se sob a jurisdição de Madruga, não incumbindo à Sta. Clara realizar tal consulta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1"/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>(iii) a etapa de extração não acontecerá em território Orífuna, sendo de integral responsabilidade de Madruga garantir, em condições de igualdade, o pleno exercício e gozo dos direitos dos indivíduos que estão sujeitos à sua jurisdição, conforme determina esta Corte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2"/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>. Portanto, o direito do Po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>vo Orífuna a ser ouvido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 xml:space="preserve"> sobre o Projeto não foi violado por Sta. Clara, eis que cumpridas as obrigações impostas nos limites de sua atuação jurisdicional. </w:t>
      </w:r>
    </w:p>
    <w:p w:rsidR="00F815B0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79</w:t>
      </w:r>
      <w:r w:rsidR="009C2E56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E56" w:rsidRPr="009A604C">
        <w:rPr>
          <w:rFonts w:ascii="Times New Roman" w:eastAsia="Times New Roman" w:hAnsi="Times New Roman" w:cs="Times New Roman"/>
          <w:sz w:val="24"/>
          <w:szCs w:val="24"/>
        </w:rPr>
        <w:tab/>
      </w:r>
      <w:r w:rsidR="00263F72" w:rsidRPr="009A604C">
        <w:rPr>
          <w:rFonts w:ascii="Times New Roman" w:eastAsia="Times New Roman" w:hAnsi="Times New Roman" w:cs="Times New Roman"/>
          <w:sz w:val="24"/>
          <w:szCs w:val="24"/>
        </w:rPr>
        <w:t>Aliás</w:t>
      </w:r>
      <w:r w:rsidR="009C2E56" w:rsidRPr="009A604C">
        <w:rPr>
          <w:rFonts w:ascii="Times New Roman" w:eastAsia="Times New Roman" w:hAnsi="Times New Roman" w:cs="Times New Roman"/>
          <w:sz w:val="24"/>
          <w:szCs w:val="24"/>
        </w:rPr>
        <w:t>, por se tratar de c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>omunidade tribal, a Silverfield</w:t>
      </w:r>
      <w:r w:rsidR="009C2E56" w:rsidRPr="009A604C">
        <w:rPr>
          <w:rFonts w:ascii="Times New Roman" w:eastAsia="Times New Roman" w:hAnsi="Times New Roman" w:cs="Times New Roman"/>
          <w:sz w:val="24"/>
          <w:szCs w:val="24"/>
        </w:rPr>
        <w:t xml:space="preserve"> considerou </w:t>
      </w:r>
      <w:r w:rsidR="00D9003A" w:rsidRPr="009A604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 xml:space="preserve"> re</w:t>
      </w:r>
      <w:r w:rsidR="009C2E56" w:rsidRPr="009A604C">
        <w:rPr>
          <w:rFonts w:ascii="Times New Roman" w:eastAsia="Times New Roman" w:hAnsi="Times New Roman" w:cs="Times New Roman"/>
          <w:sz w:val="24"/>
          <w:szCs w:val="24"/>
        </w:rPr>
        <w:t>lação</w:t>
      </w:r>
      <w:r w:rsidR="003B4AF5" w:rsidRPr="009A604C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13"/>
      </w:r>
      <w:r w:rsidR="00D9003A" w:rsidRPr="009A604C">
        <w:rPr>
          <w:rFonts w:ascii="Times New Roman" w:eastAsia="Times New Roman" w:hAnsi="Times New Roman" w:cs="Times New Roman"/>
          <w:sz w:val="24"/>
          <w:szCs w:val="24"/>
        </w:rPr>
        <w:t xml:space="preserve">existente 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 xml:space="preserve">entre o Povo Orífuna e </w:t>
      </w:r>
      <w:r w:rsidR="009C2E56" w:rsidRPr="009A604C">
        <w:rPr>
          <w:rFonts w:ascii="Times New Roman" w:eastAsia="Times New Roman" w:hAnsi="Times New Roman" w:cs="Times New Roman"/>
          <w:sz w:val="24"/>
          <w:szCs w:val="24"/>
        </w:rPr>
        <w:t xml:space="preserve">suas formas tradicionais de posse de terra, buscando o diálogo </w:t>
      </w:r>
      <w:r w:rsidR="00BA0700" w:rsidRPr="009A604C">
        <w:rPr>
          <w:rFonts w:ascii="Times New Roman" w:eastAsia="Times New Roman" w:hAnsi="Times New Roman" w:cs="Times New Roman"/>
          <w:sz w:val="24"/>
          <w:szCs w:val="24"/>
        </w:rPr>
        <w:t>em respeito à</w:t>
      </w:r>
      <w:r w:rsidR="009C2E56" w:rsidRPr="009A604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 xml:space="preserve"> suas</w:t>
      </w:r>
      <w:r w:rsidR="009C2E56" w:rsidRPr="009A604C">
        <w:rPr>
          <w:rFonts w:ascii="Times New Roman" w:eastAsia="Times New Roman" w:hAnsi="Times New Roman" w:cs="Times New Roman"/>
          <w:sz w:val="24"/>
          <w:szCs w:val="24"/>
        </w:rPr>
        <w:t xml:space="preserve"> tradições ancestrais, ao dirigir-se </w:t>
      </w:r>
      <w:r w:rsidR="00523EC8" w:rsidRPr="009A604C">
        <w:rPr>
          <w:rFonts w:ascii="Times New Roman" w:eastAsia="Times New Roman" w:hAnsi="Times New Roman" w:cs="Times New Roman"/>
          <w:sz w:val="24"/>
          <w:szCs w:val="24"/>
        </w:rPr>
        <w:t xml:space="preserve">à Presidente da APO, 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>ainda</w:t>
      </w:r>
      <w:r w:rsidR="006926EE" w:rsidRPr="009A604C">
        <w:rPr>
          <w:rFonts w:ascii="Times New Roman" w:eastAsia="Times New Roman" w:hAnsi="Times New Roman" w:cs="Times New Roman"/>
          <w:sz w:val="24"/>
          <w:szCs w:val="24"/>
        </w:rPr>
        <w:t xml:space="preserve"> que a legislação de </w:t>
      </w:r>
      <w:r w:rsidR="00523EC8" w:rsidRPr="009A604C">
        <w:rPr>
          <w:rFonts w:ascii="Times New Roman" w:eastAsia="Times New Roman" w:hAnsi="Times New Roman" w:cs="Times New Roman"/>
          <w:sz w:val="24"/>
          <w:szCs w:val="24"/>
        </w:rPr>
        <w:t>Madruga</w:t>
      </w:r>
      <w:r w:rsidR="006926EE" w:rsidRPr="009A604C">
        <w:rPr>
          <w:rFonts w:ascii="Times New Roman" w:eastAsia="Times New Roman" w:hAnsi="Times New Roman" w:cs="Times New Roman"/>
          <w:sz w:val="24"/>
          <w:szCs w:val="24"/>
        </w:rPr>
        <w:t xml:space="preserve"> prev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>isse</w:t>
      </w:r>
      <w:r w:rsidR="006926EE" w:rsidRPr="009A604C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523EC8" w:rsidRPr="009A604C">
        <w:rPr>
          <w:rFonts w:ascii="Times New Roman" w:eastAsia="Times New Roman" w:hAnsi="Times New Roman" w:cs="Times New Roman"/>
          <w:sz w:val="24"/>
          <w:szCs w:val="24"/>
        </w:rPr>
        <w:t xml:space="preserve"> as decisões 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>sobre direitos territoriais deveria</w:t>
      </w:r>
      <w:r w:rsidR="00523EC8" w:rsidRPr="009A604C">
        <w:rPr>
          <w:rFonts w:ascii="Times New Roman" w:eastAsia="Times New Roman" w:hAnsi="Times New Roman" w:cs="Times New Roman"/>
          <w:sz w:val="24"/>
          <w:szCs w:val="24"/>
        </w:rPr>
        <w:t>m ser tomadas p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elos </w:t>
      </w:r>
      <w:r w:rsidR="00523EC8" w:rsidRPr="009A604C">
        <w:rPr>
          <w:rFonts w:ascii="Times New Roman" w:eastAsia="Times New Roman" w:hAnsi="Times New Roman" w:cs="Times New Roman"/>
          <w:sz w:val="24"/>
          <w:szCs w:val="24"/>
        </w:rPr>
        <w:t xml:space="preserve">ejidos, e não pela 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>APO</w:t>
      </w:r>
      <w:r w:rsidR="003B4AF5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26EE" w:rsidRPr="009A604C">
        <w:rPr>
          <w:rFonts w:ascii="Times New Roman" w:eastAsia="Times New Roman" w:hAnsi="Times New Roman" w:cs="Times New Roman"/>
          <w:sz w:val="24"/>
          <w:szCs w:val="24"/>
        </w:rPr>
        <w:t xml:space="preserve"> Diversas Secretarias de Sta. Clara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dialogaram com autoridades de Madruga sobre a execução do Projeto </w:t>
      </w:r>
      <w:r w:rsidR="006926EE" w:rsidRPr="009A604C">
        <w:rPr>
          <w:rFonts w:ascii="Times New Roman" w:eastAsia="Times New Roman" w:hAnsi="Times New Roman" w:cs="Times New Roman"/>
          <w:sz w:val="24"/>
          <w:szCs w:val="24"/>
        </w:rPr>
        <w:t>Wiri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>kuya, sendo concedida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oitiva sobre os </w:t>
      </w:r>
      <w:r w:rsidR="006926EE" w:rsidRPr="009A604C">
        <w:rPr>
          <w:rFonts w:ascii="Times New Roman" w:eastAsia="Times New Roman" w:hAnsi="Times New Roman" w:cs="Times New Roman"/>
          <w:sz w:val="24"/>
          <w:szCs w:val="24"/>
        </w:rPr>
        <w:t xml:space="preserve">seus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benefícios quando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 xml:space="preserve"> os presidentes dos ejidos reuniram-se com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representantes da Silverfield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 xml:space="preserve"> para dialogar sobre a criação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de fundo fiduciário para a realização de projetos de desenvolvimento,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 xml:space="preserve"> o que </w:t>
      </w:r>
      <w:r w:rsidR="00C03067" w:rsidRPr="009A604C">
        <w:rPr>
          <w:rFonts w:ascii="Times New Roman" w:eastAsia="Times New Roman" w:hAnsi="Times New Roman" w:cs="Times New Roman"/>
          <w:sz w:val="24"/>
          <w:szCs w:val="24"/>
        </w:rPr>
        <w:t>consiste em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diálogo genuíno como parte de um processo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 xml:space="preserve"> que objetiva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alcançar benefícios, o que não viola o entendimento desta Casa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4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 Não se pode olvidar, porém,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 recusa da Presidente da APO em dialogar com os representantes da</w:t>
      </w:r>
      <w:r w:rsidR="000535A2" w:rsidRPr="009A604C">
        <w:rPr>
          <w:rFonts w:ascii="Times New Roman" w:eastAsia="Times New Roman" w:hAnsi="Times New Roman" w:cs="Times New Roman"/>
          <w:sz w:val="24"/>
          <w:szCs w:val="24"/>
        </w:rPr>
        <w:t xml:space="preserve"> Silverfield,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 obstaculiz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>ou a observância das tradições O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>rífunas</w:t>
      </w:r>
      <w:r w:rsidR="006D5ED8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A propósito, tal recusa não é suficiente, por si só, para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 xml:space="preserve"> responsabilizar Sta. Clara pela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violação ao art. 8,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 pois a tentativa de apresentar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E56" w:rsidRPr="009A604C">
        <w:rPr>
          <w:rFonts w:ascii="Times New Roman" w:eastAsia="Times New Roman" w:hAnsi="Times New Roman" w:cs="Times New Roman"/>
          <w:sz w:val="24"/>
          <w:szCs w:val="24"/>
        </w:rPr>
        <w:t>benefícios a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todos os representantes da 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comunidade 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>representa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 diálogo e a boa-fé com a população</w:t>
      </w:r>
      <w:r w:rsidR="00186001" w:rsidRPr="009A604C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02053F" w:rsidRPr="009A604C">
        <w:rPr>
          <w:rFonts w:ascii="Times New Roman" w:eastAsia="Times New Roman" w:hAnsi="Times New Roman" w:cs="Times New Roman"/>
          <w:sz w:val="24"/>
          <w:szCs w:val="24"/>
        </w:rPr>
        <w:t>os</w:t>
      </w:r>
      <w:r w:rsidR="00D077E8" w:rsidRPr="009A6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001" w:rsidRPr="009A604C">
        <w:rPr>
          <w:rFonts w:ascii="Times New Roman" w:eastAsia="Times New Roman" w:hAnsi="Times New Roman" w:cs="Times New Roman"/>
          <w:i/>
          <w:sz w:val="24"/>
          <w:szCs w:val="24"/>
        </w:rPr>
        <w:t>Host States</w:t>
      </w:r>
      <w:r w:rsidR="00973E89" w:rsidRPr="009A604C">
        <w:rPr>
          <w:rFonts w:ascii="Times New Roman" w:eastAsia="Times New Roman" w:hAnsi="Times New Roman" w:cs="Times New Roman"/>
          <w:sz w:val="24"/>
          <w:szCs w:val="24"/>
        </w:rPr>
        <w:t xml:space="preserve">, ao passo que 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>a criação da ODEO, pel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 xml:space="preserve">a Agência Internacional de Desenvolvimento de Sta. Clara e </w:t>
      </w:r>
      <w:r w:rsidR="009E7DD3" w:rsidRPr="009A604C">
        <w:rPr>
          <w:rFonts w:ascii="Times New Roman" w:eastAsia="Times New Roman" w:hAnsi="Times New Roman" w:cs="Times New Roman"/>
          <w:sz w:val="24"/>
          <w:szCs w:val="24"/>
        </w:rPr>
        <w:t>pel</w:t>
      </w:r>
      <w:r w:rsidR="00F815B0" w:rsidRPr="009A604C">
        <w:rPr>
          <w:rFonts w:ascii="Times New Roman" w:eastAsia="Times New Roman" w:hAnsi="Times New Roman" w:cs="Times New Roman"/>
          <w:sz w:val="24"/>
          <w:szCs w:val="24"/>
        </w:rPr>
        <w:t>o Banco Interamericano de Desenvolvimento em nada representam malefícios aos mesmos.</w:t>
      </w:r>
    </w:p>
    <w:p w:rsidR="009B571F" w:rsidRPr="009A604C" w:rsidRDefault="009B571F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3 DAS REPARAÇÕES E CUSTAS</w:t>
      </w:r>
    </w:p>
    <w:p w:rsidR="009B571F" w:rsidRPr="009A604C" w:rsidRDefault="00C20752" w:rsidP="00614087">
      <w:pPr>
        <w:pStyle w:val="Normal2"/>
        <w:spacing w:after="0" w:line="48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80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Como a responsabilidade internacional e o dever de reparação só surgem se o Estado comete um ilícito a ele imputável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5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 os fatos do caso não ensejam violação aos direitos em causa, inexiste qualquer dever de reparar por parte de Sta. Clara. Destarte, o Estado, como já definiu esta Honorável Corte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6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, está eximido do reembolso de custas e gastos da parte adversa.</w:t>
      </w:r>
    </w:p>
    <w:p w:rsidR="009B571F" w:rsidRPr="009A604C" w:rsidRDefault="00C20752" w:rsidP="00296290">
      <w:pPr>
        <w:pStyle w:val="Normal2"/>
        <w:spacing w:after="0" w:line="48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9A604C">
        <w:rPr>
          <w:rFonts w:ascii="Times New Roman" w:eastAsia="Times New Roman" w:hAnsi="Times New Roman" w:cs="Times New Roman"/>
          <w:sz w:val="24"/>
          <w:szCs w:val="24"/>
        </w:rPr>
        <w:t>81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Caso, todavia, não se acolha a preliminar arguida e/ou se entenda pela responsabilidade de Sta. Clara, no que não se acredita e se admite apenas a título argumentativo, o Estado entende suficientes medidas de cunho satisfativo – como a realização de solenidade pública de reconhecimento da responsabilidade internacional ou a publicação da sentença de lavra desta Corte em Diário Oficial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7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o que, a propósito, constitui forma autônoma de reparação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8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-. Caso se decida pelo pagamento de indenização, recorda que o valor deverá ser fixado de forma módica, pois o montante indenizatório não deve servir ao enriquecimento da parte lesada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9"/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e não deve abranger h</w:t>
      </w:r>
      <w:r w:rsidR="00296290" w:rsidRPr="009A604C">
        <w:rPr>
          <w:rFonts w:ascii="Times New Roman" w:eastAsia="Times New Roman" w:hAnsi="Times New Roman" w:cs="Times New Roman"/>
          <w:sz w:val="24"/>
          <w:szCs w:val="24"/>
        </w:rPr>
        <w:t xml:space="preserve">onorários de sucumbência, pois a atuação dos procuradores foi </w:t>
      </w:r>
      <w:r w:rsidR="00296290" w:rsidRPr="009A604C">
        <w:rPr>
          <w:rFonts w:ascii="Times New Roman" w:eastAsia="Times New Roman" w:hAnsi="Times New Roman" w:cs="Times New Roman"/>
          <w:i/>
          <w:sz w:val="24"/>
          <w:szCs w:val="24"/>
        </w:rPr>
        <w:t>pro bono</w:t>
      </w:r>
      <w:r w:rsidR="00296290" w:rsidRPr="009A6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571F" w:rsidRPr="009A604C">
        <w:rPr>
          <w:rFonts w:ascii="Times New Roman" w:eastAsia="Times New Roman" w:hAnsi="Times New Roman" w:cs="Times New Roman"/>
          <w:b/>
          <w:sz w:val="24"/>
          <w:szCs w:val="24"/>
        </w:rPr>
        <w:t>VI. SOLICITAÇÃO DE ASSISTÊNCIA</w:t>
      </w:r>
    </w:p>
    <w:p w:rsidR="009B571F" w:rsidRPr="009A604C" w:rsidRDefault="00C20752" w:rsidP="00614087">
      <w:pPr>
        <w:pStyle w:val="Normal2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h.1fob9te" w:colFirst="0" w:colLast="0"/>
      <w:bookmarkEnd w:id="4"/>
      <w:r w:rsidRPr="009A604C">
        <w:rPr>
          <w:rFonts w:ascii="Times New Roman" w:eastAsia="Times New Roman" w:hAnsi="Times New Roman" w:cs="Times New Roman"/>
          <w:sz w:val="24"/>
          <w:szCs w:val="24"/>
        </w:rPr>
        <w:t>82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ab/>
        <w:t>Ante o exposto, a Monarquia Constitucional de Santa Clara respeitosamente requer a esta Honorável Corte que: (i) na audiência pública, ou na sentença, reconheça e julgue procedente a preliminar arguida; (ii) no mérito, declare a inocorrência de violação aos direitos enunciados nos arts. 4, 5, 16, 17, 21, 26, 8 e 25 da CADH; e</w:t>
      </w:r>
      <w:r w:rsidR="001455D7" w:rsidRPr="009A604C">
        <w:rPr>
          <w:rFonts w:ascii="Times New Roman" w:eastAsia="Times New Roman" w:hAnsi="Times New Roman" w:cs="Times New Roman"/>
          <w:sz w:val="24"/>
          <w:szCs w:val="24"/>
        </w:rPr>
        <w:t xml:space="preserve"> subsidiariamente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 xml:space="preserve"> (iii) caso acolhidas as razões de mérito da petição, delibere quanto às reparações, na forma dos §§ </w:t>
      </w:r>
      <w:r w:rsidR="008F0C49" w:rsidRPr="009A604C">
        <w:rPr>
          <w:rFonts w:ascii="Times New Roman" w:eastAsia="Times New Roman" w:hAnsi="Times New Roman" w:cs="Times New Roman"/>
          <w:sz w:val="24"/>
          <w:szCs w:val="24"/>
        </w:rPr>
        <w:t>80-81</w:t>
      </w:r>
      <w:r w:rsidR="009B571F" w:rsidRPr="009A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B6D" w:rsidRPr="009A604C" w:rsidRDefault="00F35B6D" w:rsidP="00614087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F35B6D" w:rsidRPr="009A604C" w:rsidSect="00804CF9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1A" w:rsidRDefault="00AC411A" w:rsidP="00D87EF5">
      <w:pPr>
        <w:spacing w:after="0" w:line="240" w:lineRule="auto"/>
      </w:pPr>
      <w:r>
        <w:separator/>
      </w:r>
    </w:p>
  </w:endnote>
  <w:endnote w:type="continuationSeparator" w:id="0">
    <w:p w:rsidR="00AC411A" w:rsidRDefault="00AC411A" w:rsidP="00D8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C7" w:rsidRPr="00C7060F" w:rsidRDefault="00EB6CAC">
    <w:pPr>
      <w:pStyle w:val="Rodap"/>
      <w:jc w:val="center"/>
      <w:rPr>
        <w:rFonts w:ascii="Times New Roman" w:hAnsi="Times New Roman"/>
        <w:sz w:val="20"/>
        <w:szCs w:val="20"/>
      </w:rPr>
    </w:pPr>
    <w:r>
      <w:fldChar w:fldCharType="begin"/>
    </w:r>
    <w:r>
      <w:instrText>PAGE   \* MERGEFORMAT</w:instrText>
    </w:r>
    <w:r>
      <w:fldChar w:fldCharType="separate"/>
    </w:r>
    <w:r w:rsidR="008821E8" w:rsidRPr="008821E8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noProof/>
        <w:sz w:val="20"/>
        <w:szCs w:val="20"/>
      </w:rPr>
      <w:fldChar w:fldCharType="end"/>
    </w:r>
  </w:p>
  <w:p w:rsidR="000B12C7" w:rsidRDefault="000B12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1A" w:rsidRPr="00973E89" w:rsidRDefault="00AC411A" w:rsidP="00973E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3E89">
        <w:rPr>
          <w:rFonts w:ascii="Times New Roman" w:hAnsi="Times New Roman"/>
          <w:sz w:val="20"/>
          <w:szCs w:val="20"/>
        </w:rPr>
        <w:separator/>
      </w:r>
    </w:p>
  </w:footnote>
  <w:footnote w:type="continuationSeparator" w:id="0">
    <w:p w:rsidR="00AC411A" w:rsidRDefault="00AC411A" w:rsidP="00D87EF5">
      <w:pPr>
        <w:spacing w:after="0" w:line="240" w:lineRule="auto"/>
      </w:pPr>
      <w:r>
        <w:continuationSeparator/>
      </w:r>
    </w:p>
  </w:footnote>
  <w:footnote w:id="1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Opinión Consultiva.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Derechos y garantías de niñas y niños en el contexto de la migración y/o en necesidad de protección internacional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Serie A No. 21, §17;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Cantos Vs. Argentina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2001. Serie C No. 85, § 21.</w:t>
      </w:r>
    </w:p>
  </w:footnote>
  <w:footnote w:id="2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PASQUALUCCI, Jo M.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The practice and procedure of the Inter-American Court of Human Rights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. University of South Dakota, School of Law. 2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US"/>
        </w:rPr>
        <w:t>nd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Ed. New York: Cambridge University Press, 2013. pp. 146-147.</w:t>
      </w:r>
    </w:p>
  </w:footnote>
  <w:footnote w:id="3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Detenidos en Guántanamo Bay, Cuba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Solicitaciones de Medidas Cautelares. 2002; CIDH.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Decisión de la Comisión respecto a la admisibilidad [haitianos contra Estados Unidos]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Caso 10.675. Relatoría No. 28/93; CIDH. Informe nº 38/99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. Petición Víctor Saldaño Argentina.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1999, §17; PASQUALUCCI, Jo M. </w:t>
      </w:r>
      <w:r w:rsidRPr="0060453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2, p. 147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</w:t>
      </w:r>
    </w:p>
  </w:footnote>
  <w:footnote w:id="4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CtEDH.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 xml:space="preserve">Case of Loizidou Vs.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Turkey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Preliminary Objection. No.310, § 62; CtEDH.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Case of Cyprus Vs. Turkey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. Application No. 25781/94, § 14; </w:t>
      </w:r>
    </w:p>
  </w:footnote>
  <w:footnote w:id="5">
    <w:p w:rsidR="000B12C7" w:rsidRPr="009A604C" w:rsidRDefault="000B12C7" w:rsidP="009A604C">
      <w:pPr>
        <w:pStyle w:val="Textodenotaderodap"/>
        <w:jc w:val="both"/>
        <w:rPr>
          <w:rFonts w:ascii="Times New Roman" w:hAnsi="Times New Roman"/>
          <w:lang w:val="en-US"/>
        </w:rPr>
      </w:pPr>
      <w:r w:rsidRPr="009A604C">
        <w:rPr>
          <w:rStyle w:val="Refdenotaderodap"/>
          <w:rFonts w:ascii="Times New Roman" w:hAnsi="Times New Roman"/>
        </w:rPr>
        <w:footnoteRef/>
      </w:r>
      <w:r w:rsidRPr="009A604C">
        <w:rPr>
          <w:rFonts w:ascii="Times New Roman" w:hAnsi="Times New Roman"/>
          <w:lang w:val="en-US"/>
        </w:rPr>
        <w:t xml:space="preserve"> ONU. </w:t>
      </w:r>
      <w:r w:rsidRPr="009A604C">
        <w:rPr>
          <w:rFonts w:ascii="Times New Roman" w:hAnsi="Times New Roman"/>
          <w:i/>
          <w:lang w:val="en-US"/>
        </w:rPr>
        <w:t>World economic and social survey 2005: financing for development</w:t>
      </w:r>
      <w:r w:rsidRPr="009A604C">
        <w:rPr>
          <w:rFonts w:ascii="Times New Roman" w:hAnsi="Times New Roman"/>
          <w:lang w:val="en-US"/>
        </w:rPr>
        <w:t>. New York: United Nations publication, 2005. p. 75.</w:t>
      </w:r>
    </w:p>
  </w:footnote>
  <w:footnote w:id="6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Opinión Consultiva No. 21.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60453C">
        <w:rPr>
          <w:rFonts w:ascii="Times New Roman" w:eastAsia="Times New Roman" w:hAnsi="Times New Roman" w:cs="Times New Roman"/>
          <w:color w:val="auto"/>
          <w:sz w:val="20"/>
          <w:szCs w:val="20"/>
        </w:rPr>
        <w:t>Idem nota 1,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§§ 228-242;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Caso Familia Pacheco Tineo Vs. Bolivia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2013. Serie C No 272, §§ 151-153.</w:t>
      </w:r>
    </w:p>
  </w:footnote>
  <w:footnote w:id="7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OEA.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Situación de los derechos humanos de las personas afectadas por la minería en las Américas y responsabilidad de los Estados huéspedes y de origen de las empresas.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Audiencia pública realizada en el 149° periodo de sesiones de la CIDH.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Washington, D.C., 2013.</w:t>
      </w:r>
    </w:p>
  </w:footnote>
  <w:footnote w:id="8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BE51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BE513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Ximenes Lopes Vs.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 xml:space="preserve">Brasil.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2006. Serie C No.149, §87;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  <w:lang w:val="en-US"/>
        </w:rPr>
        <w:t xml:space="preserve">IRAN-UNITED STATES CLAIMS TRIBUNAL. </w:t>
      </w:r>
      <w:r w:rsidRPr="00BE5135">
        <w:rPr>
          <w:rFonts w:ascii="Times New Roman" w:eastAsia="Times New Roman" w:hAnsi="Times New Roman" w:cs="Times New Roman"/>
          <w:i/>
          <w:color w:val="auto"/>
          <w:sz w:val="20"/>
          <w:szCs w:val="20"/>
          <w:highlight w:val="white"/>
        </w:rPr>
        <w:t xml:space="preserve">Case Phillips Petroleum Co.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highlight w:val="white"/>
          <w:lang w:val="es-ES"/>
        </w:rPr>
        <w:t>Iran Vs. Iran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  <w:lang w:val="es-ES"/>
        </w:rPr>
        <w:t>. 1989, §§91-100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; </w:t>
      </w:r>
    </w:p>
  </w:footnote>
  <w:footnote w:id="9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GARCIA RAMÍREZ, Sergio.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La jurisdicción interamericana de derechos humanos (Estudios)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México: Corte Interamericana de Derechos Humanos, 2006. pp. 58, 84.  </w:t>
      </w:r>
    </w:p>
  </w:footnote>
  <w:footnote w:id="10">
    <w:p w:rsidR="000B12C7" w:rsidRPr="009A604C" w:rsidRDefault="000B12C7" w:rsidP="009A604C">
      <w:pPr>
        <w:pStyle w:val="Textodenotaderodap"/>
        <w:jc w:val="both"/>
        <w:rPr>
          <w:rFonts w:ascii="Times New Roman" w:hAnsi="Times New Roman"/>
          <w:lang w:val="en-US"/>
        </w:rPr>
      </w:pPr>
      <w:r w:rsidRPr="009A604C">
        <w:rPr>
          <w:rStyle w:val="Refdenotaderodap"/>
          <w:rFonts w:ascii="Times New Roman" w:hAnsi="Times New Roman"/>
        </w:rPr>
        <w:footnoteRef/>
      </w:r>
      <w:r w:rsidRPr="009A604C">
        <w:rPr>
          <w:rFonts w:ascii="Times New Roman" w:hAnsi="Times New Roman"/>
          <w:lang w:val="en-US"/>
        </w:rPr>
        <w:t xml:space="preserve">PIGRAU, Antoni. </w:t>
      </w:r>
      <w:r w:rsidRPr="009A604C">
        <w:rPr>
          <w:rFonts w:ascii="Times New Roman" w:hAnsi="Times New Roman"/>
          <w:i/>
          <w:lang w:val="en-US"/>
        </w:rPr>
        <w:t>The Interplay of National, Transnational and International Litigation for Environmental Justice: Seeking Effective Means of Redress for Grave Environmental Damage</w:t>
      </w:r>
      <w:r w:rsidRPr="009A604C">
        <w:rPr>
          <w:rFonts w:ascii="Times New Roman" w:hAnsi="Times New Roman"/>
          <w:lang w:val="en-US"/>
        </w:rPr>
        <w:t>. ISEE Conference: Rio de Janeiro, 2012.</w:t>
      </w:r>
    </w:p>
  </w:footnote>
  <w:footnote w:id="11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INTERNATIONAL COURT OF JUSTICE.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Aegean Sea Continental Shelf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Judgment. Reports 1978, § 42</w:t>
      </w:r>
    </w:p>
  </w:footnote>
  <w:footnote w:id="12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Velásquez Rodríguez Vs Honduras.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1987. Serie C No.1, § 33.</w:t>
      </w:r>
    </w:p>
  </w:footnote>
  <w:footnote w:id="13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highlight w:val="yellow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CtIDH. Opinión Consultiva.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 Control de legalidad en el ejercicio de las atribuciones de la CIDH (arts. 41y 44 a 51 de la CADH).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Serie A No. 19, §31.</w:t>
      </w:r>
    </w:p>
  </w:footnote>
  <w:footnote w:id="14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CtIDH. 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Castañeda Gutman Vs. México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2008. Serie C. No.184, §40.</w:t>
      </w:r>
    </w:p>
  </w:footnote>
  <w:footnote w:id="15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MEDINA QUIROGA, Cecilia.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La Convención Americana: vida, integridad personal, libertad personal, debido proceso y recurso judicial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San José: Facultad de Derecho de Chile, 2003. p. 60. </w:t>
      </w:r>
    </w:p>
  </w:footnote>
  <w:footnote w:id="16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Ximenes Lopes Vs.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Brasil.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8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,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§126.</w:t>
      </w:r>
    </w:p>
  </w:footnote>
  <w:footnote w:id="17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Artavia Murillo y otros (Fertilización in vitro) Vs. Costa Rica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2012. Serie C No. 257, §145.</w:t>
      </w:r>
    </w:p>
  </w:footnote>
  <w:footnote w:id="18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González y otras (“Campo Algodonero”) Vs. México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2009. Serie C No 205. § 245.  </w:t>
      </w:r>
    </w:p>
  </w:footnote>
  <w:footnote w:id="19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Baldeón García Vs. Perú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2006. Serie C No. 147, § 84.</w:t>
      </w:r>
    </w:p>
  </w:footnote>
  <w:footnote w:id="20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>MEDINA QUIROGA. Idem nota 15. p. 79.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</w:footnote>
  <w:footnote w:id="21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González y otras ("Campo Algodonero") Vs. México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Voto concurrente del Juez Diego García-Sayan.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Serie C No. 205, §§ 5-6; CtEDH.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Case of Osman Vs .The United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Kingdom.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Application 87/1997/871/1083. 1990, § 115.</w:t>
      </w:r>
    </w:p>
  </w:footnote>
  <w:footnote w:id="22">
    <w:p w:rsidR="000B12C7" w:rsidRPr="009A604C" w:rsidRDefault="000B12C7" w:rsidP="009A604C">
      <w:pPr>
        <w:pStyle w:val="Textodenotaderodap"/>
        <w:jc w:val="both"/>
        <w:rPr>
          <w:rFonts w:ascii="Times New Roman" w:hAnsi="Times New Roman"/>
          <w:lang w:val="es-ES"/>
        </w:rPr>
      </w:pPr>
      <w:r w:rsidRPr="009A604C">
        <w:rPr>
          <w:rStyle w:val="Refdenotaderodap"/>
          <w:rFonts w:ascii="Times New Roman" w:hAnsi="Times New Roman"/>
        </w:rPr>
        <w:footnoteRef/>
      </w:r>
      <w:r w:rsidRPr="009A604C">
        <w:rPr>
          <w:rFonts w:ascii="Times New Roman" w:hAnsi="Times New Roman"/>
          <w:lang w:val="es-ES"/>
        </w:rPr>
        <w:t xml:space="preserve">CtIDH. </w:t>
      </w:r>
      <w:r w:rsidRPr="009A604C">
        <w:rPr>
          <w:rFonts w:ascii="Times New Roman" w:hAnsi="Times New Roman"/>
          <w:i/>
          <w:lang w:val="es-ES"/>
        </w:rPr>
        <w:t>Caso Anzualdo Castro Vs. Perú</w:t>
      </w:r>
      <w:r w:rsidRPr="009A604C">
        <w:rPr>
          <w:rFonts w:ascii="Times New Roman" w:hAnsi="Times New Roman"/>
          <w:lang w:val="es-ES"/>
        </w:rPr>
        <w:t>. 2009. Serie C No. 202, § 86.</w:t>
      </w:r>
    </w:p>
  </w:footnote>
  <w:footnote w:id="23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Comunidad Indígena Sawhoyamaxa Vs. Paraguay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2006. Serie C No. 146, § 155;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Masacre del Pueblo Bello Vs.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Colombia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>. 2006. Serie C No. 140, § 124.</w:t>
      </w:r>
    </w:p>
  </w:footnote>
  <w:footnote w:id="24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BROWNLIE, Ian.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Princípios de direito internacional público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>. Lisboa: Fundação Calouste Gulbenkian, 1997, p. 307.</w:t>
      </w:r>
    </w:p>
  </w:footnote>
  <w:footnote w:id="25">
    <w:p w:rsidR="000B12C7" w:rsidRPr="009A604C" w:rsidRDefault="000B12C7" w:rsidP="009A604C">
      <w:pPr>
        <w:pStyle w:val="Ttulo1"/>
        <w:shd w:val="clear" w:color="auto" w:fill="FFFFFF"/>
        <w:spacing w:before="0" w:after="0"/>
        <w:jc w:val="both"/>
        <w:textAlignment w:val="baseline"/>
        <w:rPr>
          <w:rFonts w:cs="Times New Roman"/>
          <w:b w:val="0"/>
          <w:bCs w:val="0"/>
          <w:szCs w:val="20"/>
          <w:lang w:val="es-ES"/>
        </w:rPr>
      </w:pPr>
      <w:r w:rsidRPr="009A604C">
        <w:rPr>
          <w:rStyle w:val="Refdenotaderodap"/>
          <w:rFonts w:cs="Times New Roman"/>
          <w:b w:val="0"/>
          <w:szCs w:val="20"/>
        </w:rPr>
        <w:footnoteRef/>
      </w:r>
      <w:r w:rsidRPr="009A604C">
        <w:rPr>
          <w:rFonts w:cs="Times New Roman"/>
          <w:b w:val="0"/>
          <w:szCs w:val="20"/>
        </w:rPr>
        <w:t xml:space="preserve">ORGANIZAÇÃO PARA A COOPERAÇÃO E DESENVOLVIMENTO ECONÔMICO. </w:t>
      </w:r>
      <w:r w:rsidRPr="009A604C">
        <w:rPr>
          <w:rFonts w:cs="Times New Roman"/>
          <w:b w:val="0"/>
          <w:bCs w:val="0"/>
          <w:i/>
          <w:szCs w:val="20"/>
          <w:bdr w:val="none" w:sz="0" w:space="0" w:color="auto" w:frame="1"/>
          <w:lang w:val="en-US"/>
        </w:rPr>
        <w:t>OCDE Transfer Pricing Guidelines for Multinational Enterprises and Tax Administrations</w:t>
      </w:r>
      <w:r w:rsidRPr="009A604C">
        <w:rPr>
          <w:rStyle w:val="apple-converted-space"/>
          <w:rFonts w:cs="Times New Roman"/>
          <w:b w:val="0"/>
          <w:bCs w:val="0"/>
          <w:szCs w:val="20"/>
          <w:bdr w:val="none" w:sz="0" w:space="0" w:color="auto" w:frame="1"/>
          <w:lang w:val="en-US"/>
        </w:rPr>
        <w:t xml:space="preserve">. </w:t>
      </w:r>
      <w:r w:rsidRPr="009A604C">
        <w:rPr>
          <w:rStyle w:val="apple-converted-space"/>
          <w:rFonts w:cs="Times New Roman"/>
          <w:b w:val="0"/>
          <w:bCs w:val="0"/>
          <w:szCs w:val="20"/>
          <w:bdr w:val="none" w:sz="0" w:space="0" w:color="auto" w:frame="1"/>
          <w:lang w:val="es-ES"/>
        </w:rPr>
        <w:t>OCDE Publishing, 2010.</w:t>
      </w:r>
    </w:p>
  </w:footnote>
  <w:footnote w:id="26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Velásquez Rodriguez Vs. Honduras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1988. Serie C No. 4, § 172. </w:t>
      </w:r>
    </w:p>
  </w:footnote>
  <w:footnote w:id="27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CAMACHO VÁ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SQUEZ, Santiago J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. La Responsabilidad Internacional de los Estados Derivada de la Conducta de Particulares o Non State Actors Conforme al Sistema Interamericano de Promoción e Protección de los Derechos Humanos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México, 2013. p 15.</w:t>
      </w:r>
    </w:p>
  </w:footnote>
  <w:footnote w:id="28">
    <w:p w:rsidR="000B12C7" w:rsidRPr="0060453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60453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Ximenes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Lopes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>Idem nota 8, §87;</w:t>
      </w:r>
    </w:p>
  </w:footnote>
  <w:footnote w:id="29">
    <w:p w:rsidR="000B12C7" w:rsidRPr="009A604C" w:rsidRDefault="000B12C7" w:rsidP="009A604C">
      <w:pPr>
        <w:pStyle w:val="Textodenotaderodap"/>
        <w:jc w:val="both"/>
        <w:rPr>
          <w:rFonts w:ascii="Times New Roman" w:hAnsi="Times New Roman"/>
          <w:lang w:val="es-ES"/>
        </w:rPr>
      </w:pPr>
      <w:r w:rsidRPr="009A604C">
        <w:rPr>
          <w:rStyle w:val="Refdenotaderodap"/>
          <w:rFonts w:ascii="Times New Roman" w:hAnsi="Times New Roman"/>
        </w:rPr>
        <w:footnoteRef/>
      </w:r>
      <w:r w:rsidRPr="009A604C">
        <w:rPr>
          <w:rFonts w:ascii="Times New Roman" w:hAnsi="Times New Roman"/>
          <w:lang w:val="es-ES"/>
        </w:rPr>
        <w:t xml:space="preserve">ANZILOTTI, Dionisio. </w:t>
      </w:r>
      <w:r w:rsidRPr="009A604C">
        <w:rPr>
          <w:rFonts w:ascii="Times New Roman" w:hAnsi="Times New Roman"/>
          <w:i/>
          <w:lang w:val="es-ES"/>
        </w:rPr>
        <w:t>Cours de Droit International</w:t>
      </w:r>
      <w:r w:rsidRPr="009A604C">
        <w:rPr>
          <w:rFonts w:ascii="Times New Roman" w:hAnsi="Times New Roman"/>
          <w:lang w:val="es-ES"/>
        </w:rPr>
        <w:t xml:space="preserve">. Paris : Sirey, 1929, p.75 </w:t>
      </w:r>
    </w:p>
  </w:footnote>
  <w:footnote w:id="30">
    <w:p w:rsidR="000B12C7" w:rsidRPr="0031317A" w:rsidRDefault="000B12C7" w:rsidP="009A604C">
      <w:pPr>
        <w:pStyle w:val="Textodenotaderodap"/>
        <w:jc w:val="both"/>
        <w:rPr>
          <w:rFonts w:ascii="Times New Roman" w:hAnsi="Times New Roman"/>
          <w:lang w:val="es-ES"/>
        </w:rPr>
      </w:pPr>
      <w:r w:rsidRPr="0031317A">
        <w:rPr>
          <w:rStyle w:val="Refdenotaderodap"/>
          <w:rFonts w:ascii="Times New Roman" w:hAnsi="Times New Roman"/>
        </w:rPr>
        <w:footnoteRef/>
      </w:r>
      <w:r w:rsidRPr="0031317A">
        <w:rPr>
          <w:rFonts w:ascii="Times New Roman" w:hAnsi="Times New Roman"/>
          <w:lang w:val="es-ES"/>
        </w:rPr>
        <w:t xml:space="preserve">CtIDH. </w:t>
      </w:r>
      <w:r w:rsidRPr="0031317A">
        <w:rPr>
          <w:rFonts w:ascii="Times New Roman" w:hAnsi="Times New Roman"/>
          <w:i/>
          <w:lang w:val="es-ES"/>
        </w:rPr>
        <w:t xml:space="preserve">Caso Velásquez Rodriguez. </w:t>
      </w:r>
      <w:r w:rsidRPr="0031317A">
        <w:rPr>
          <w:rFonts w:ascii="Times New Roman" w:eastAsia="Times New Roman" w:hAnsi="Times New Roman"/>
          <w:lang w:val="es-ES"/>
        </w:rPr>
        <w:t>Idem nota 26</w:t>
      </w:r>
      <w:r w:rsidRPr="0031317A">
        <w:rPr>
          <w:rFonts w:ascii="Times New Roman" w:hAnsi="Times New Roman"/>
          <w:lang w:val="es-ES"/>
        </w:rPr>
        <w:t>, § 170.</w:t>
      </w:r>
    </w:p>
  </w:footnote>
  <w:footnote w:id="31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Chitay Nech y otros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2010. Serie C No. 212, § 220; 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La Cantuta Vs. Perú.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2006. Serie C No. 162, § 218.</w:t>
      </w:r>
    </w:p>
  </w:footnote>
  <w:footnote w:id="32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Comunidad Indígena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Sawhoyamaxa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Idem nota 23, §§ 150-152 </w:t>
      </w:r>
    </w:p>
  </w:footnote>
  <w:footnote w:id="33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Caso Ximenes Lopes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Idem nota 8, § 127; 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Loayza Tamayo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 Vs. Perú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1997.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Serie C No. 33, § 57.</w:t>
      </w:r>
    </w:p>
  </w:footnote>
  <w:footnote w:id="34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CtEDH.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Case of Selmouni vs. France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Application Nº 25803/94. 1999, § 95.</w:t>
      </w:r>
    </w:p>
  </w:footnote>
  <w:footnote w:id="35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CANOSA USERA, Raúl.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El derecho a la integridad personal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1 Edición. Valladolid: Lex Nova, 2006, p; 287. </w:t>
      </w:r>
    </w:p>
  </w:footnote>
  <w:footnote w:id="36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CtEDH.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Ireland Vs. United Kingdom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. </w:t>
      </w:r>
      <w:r w:rsidRPr="00BE51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Application No. 5310/71. 1978.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>§167.</w:t>
      </w:r>
    </w:p>
  </w:footnote>
  <w:footnote w:id="37">
    <w:p w:rsidR="000B12C7" w:rsidRPr="00BE5135" w:rsidRDefault="000B12C7" w:rsidP="009A604C">
      <w:pPr>
        <w:pStyle w:val="Normal2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TRIBUNAL PENAL INTERNACIONAL PARA A ANTIGA IUGUSLÁVIA. </w:t>
      </w:r>
      <w:r w:rsidRPr="00BE5135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Case See Prosecutor Vs. ZeinilDelalic et. Al (The Celebici Case)</w:t>
      </w:r>
      <w:r w:rsidRPr="00BE5135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. No. IT-96-21-T. Judgment of 11/19/98.</w:t>
      </w:r>
    </w:p>
  </w:footnote>
  <w:footnote w:id="38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BE5135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Opinión Consultiva No. 21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>. Idem nota 1, § 85.</w:t>
      </w:r>
    </w:p>
  </w:footnote>
  <w:footnote w:id="39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Tibi Vs.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Ecuador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2004. Serie C No. 144, §§145-146;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Bámaca Velasquez Vs. Guatemala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2000. Serie C No. 221, §92. </w:t>
      </w:r>
    </w:p>
  </w:footnote>
  <w:footnote w:id="40">
    <w:p w:rsidR="000B12C7" w:rsidRPr="009A604C" w:rsidRDefault="000B12C7" w:rsidP="009A604C">
      <w:pPr>
        <w:pStyle w:val="Textodenotaderodap"/>
        <w:jc w:val="both"/>
        <w:rPr>
          <w:rFonts w:ascii="Times New Roman" w:hAnsi="Times New Roman"/>
          <w:lang w:val="es-ES"/>
        </w:rPr>
      </w:pPr>
      <w:r w:rsidRPr="009A604C">
        <w:rPr>
          <w:rStyle w:val="Refdenotaderodap"/>
          <w:rFonts w:ascii="Times New Roman" w:hAnsi="Times New Roman"/>
        </w:rPr>
        <w:footnoteRef/>
      </w:r>
      <w:r w:rsidRPr="009A604C">
        <w:rPr>
          <w:rFonts w:ascii="Times New Roman" w:hAnsi="Times New Roman"/>
          <w:lang w:val="es-ES"/>
        </w:rPr>
        <w:t xml:space="preserve"> CtIDH</w:t>
      </w:r>
      <w:r w:rsidRPr="009A604C">
        <w:rPr>
          <w:rFonts w:ascii="Times New Roman" w:hAnsi="Times New Roman"/>
          <w:i/>
          <w:lang w:val="es-ES"/>
        </w:rPr>
        <w:t>. Caso del Penal Miguel Castro Vs. Perú</w:t>
      </w:r>
      <w:r w:rsidRPr="009A604C">
        <w:rPr>
          <w:rFonts w:ascii="Times New Roman" w:hAnsi="Times New Roman"/>
          <w:lang w:val="es-ES"/>
        </w:rPr>
        <w:t>. 2006. Serie C No. 160, §§ 278-279.</w:t>
      </w:r>
    </w:p>
  </w:footnote>
  <w:footnote w:id="41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19 Comerciantes Vs. Colombia.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2004. Serie C No. 109, §§ 215-218.</w:t>
      </w:r>
    </w:p>
  </w:footnote>
  <w:footnote w:id="42">
    <w:p w:rsidR="000B12C7" w:rsidRPr="009A604C" w:rsidRDefault="000B12C7" w:rsidP="009A604C">
      <w:pPr>
        <w:pStyle w:val="Textodenotaderodap"/>
        <w:jc w:val="both"/>
        <w:rPr>
          <w:rFonts w:ascii="Times New Roman" w:hAnsi="Times New Roman"/>
        </w:rPr>
      </w:pPr>
      <w:r w:rsidRPr="009A604C">
        <w:rPr>
          <w:rStyle w:val="Refdenotaderodap"/>
          <w:rFonts w:ascii="Times New Roman" w:hAnsi="Times New Roman"/>
        </w:rPr>
        <w:footnoteRef/>
      </w:r>
      <w:r w:rsidRPr="009A604C">
        <w:rPr>
          <w:rFonts w:ascii="Times New Roman" w:eastAsia="Times New Roman" w:hAnsi="Times New Roman"/>
        </w:rPr>
        <w:t xml:space="preserve">CtIDH. </w:t>
      </w:r>
      <w:r w:rsidRPr="009A604C">
        <w:rPr>
          <w:rFonts w:ascii="Times New Roman" w:eastAsia="Times New Roman" w:hAnsi="Times New Roman"/>
          <w:i/>
        </w:rPr>
        <w:t xml:space="preserve">Caso Bámaca </w:t>
      </w:r>
      <w:r w:rsidRPr="0031317A">
        <w:rPr>
          <w:rFonts w:ascii="Times New Roman" w:eastAsia="Times New Roman" w:hAnsi="Times New Roman"/>
          <w:i/>
        </w:rPr>
        <w:t xml:space="preserve">Velasquez. </w:t>
      </w:r>
      <w:r w:rsidRPr="0031317A">
        <w:rPr>
          <w:rFonts w:ascii="Times New Roman" w:eastAsia="Times New Roman" w:hAnsi="Times New Roman"/>
        </w:rPr>
        <w:t>Idem nota 39, §§ 129, 165-166.</w:t>
      </w:r>
      <w:r w:rsidRPr="009A604C">
        <w:rPr>
          <w:rFonts w:ascii="Times New Roman" w:eastAsia="Times New Roman" w:hAnsi="Times New Roman"/>
        </w:rPr>
        <w:t xml:space="preserve"> </w:t>
      </w:r>
    </w:p>
  </w:footnote>
  <w:footnote w:id="43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Chitay Nech y otros.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31, §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157;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Norín Catrimán y otros (Dirigentes, miembros y activista del Pueblo Indígena Mapuche) Vs. Chile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2014. Serie C No. 279, § 404;  </w:t>
      </w:r>
    </w:p>
  </w:footnote>
  <w:footnote w:id="44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Fermín Ramírez Vs.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Guatemala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2005. Serie C No. 126, § 121.</w:t>
      </w:r>
    </w:p>
  </w:footnote>
  <w:footnote w:id="45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bookmarkStart w:id="3" w:name="h.3znysh7" w:colFirst="0" w:colLast="0"/>
      <w:bookmarkEnd w:id="3"/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CtEDH.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Case Olsson Vs. Sweden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Application No. 10465/83. 1988, § 81</w:t>
      </w:r>
    </w:p>
  </w:footnote>
  <w:footnote w:id="46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de los "Niños de la Calle" (Villagrán Morales y otros) Vs. Guatemala.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1999. Serie C No. 63,§196</w:t>
      </w:r>
    </w:p>
  </w:footnote>
  <w:footnote w:id="47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Baena Ricardo y otros Vs. Panamá.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1999. Serie C No. 61, §156;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Escher y otros Vs. Brasil.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2009. Serie C No. 200, § 170;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Fleury y otros Vs. Haití.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2011. Serie C No. 236, § 99.</w:t>
      </w:r>
    </w:p>
  </w:footnote>
  <w:footnote w:id="48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Huilca Tecse Vs. Perú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2005. Serie C No. 121, § 104.</w:t>
      </w:r>
    </w:p>
  </w:footnote>
  <w:footnote w:id="49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0453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60453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CtIDH. </w:t>
      </w:r>
      <w:r w:rsidRPr="0060453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Caso Huilca Tecse</w:t>
      </w:r>
      <w:r w:rsidRPr="0060453C">
        <w:rPr>
          <w:rFonts w:ascii="Times New Roman" w:eastAsia="Times New Roman" w:hAnsi="Times New Roman" w:cs="Times New Roman"/>
          <w:color w:val="auto"/>
          <w:sz w:val="20"/>
          <w:szCs w:val="20"/>
        </w:rPr>
        <w:t>. Idem nota 48, §§71, 77.</w:t>
      </w:r>
    </w:p>
  </w:footnote>
  <w:footnote w:id="50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Baena Ricardo y otros.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47,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§159.</w:t>
      </w:r>
    </w:p>
  </w:footnote>
  <w:footnote w:id="51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Fleury y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otros.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Idem nota 47, § 100; </w:t>
      </w:r>
    </w:p>
  </w:footnote>
  <w:footnote w:id="52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Caso Huilca Tecse.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>Idem nota 48, §§ 66, 79;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</w:footnote>
  <w:footnote w:id="53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Baena Ricardo y otros.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47, §149.</w:t>
      </w:r>
    </w:p>
  </w:footnote>
  <w:footnote w:id="54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del Pueblo Saramaka Vs.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Surinam.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2007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Serie C No. 172, § 172.</w:t>
      </w:r>
    </w:p>
  </w:footnote>
  <w:footnote w:id="55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Acevedo Buendía y otros (“Cesantes y Jubilados de La Contraloría”) Vs. Perú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2009. Serie C No. 198, § 103.</w:t>
      </w:r>
    </w:p>
  </w:footnote>
  <w:footnote w:id="56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Salvador Chiriboga Vs. Ecuador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2008. Serie C No. 179, §60; 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del Pueblo Saramaka.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54, § 127.</w:t>
      </w:r>
    </w:p>
  </w:footnote>
  <w:footnote w:id="57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CtEDH.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Case Sociedad Anónima del Ucieza Vs. Spain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Application No. 38963/08. 2014. §73.</w:t>
      </w:r>
    </w:p>
  </w:footnote>
  <w:footnote w:id="58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Comunidad Indígena Xákmok Kásek Vs. Paraguay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2010. Serie C No. 214, §85;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Pueblo Indígena Kichwa de Sarayaky Vs. Ecuador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2012. Serie C No. 245, § 145.</w:t>
      </w:r>
    </w:p>
  </w:footnote>
  <w:footnote w:id="59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Pueblo Indígena Kichwa de Sarayaku.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>Idem nota 58, §165.</w:t>
      </w:r>
    </w:p>
  </w:footnote>
  <w:footnote w:id="60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Idem, § 178; 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Caso Comunidad Indigena Sawhoyamaxa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>. Idem nota 23, §138.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</w:footnote>
  <w:footnote w:id="61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ONU. Asamblea General. Consejo de Derechos Humanos.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Informe del Relator sobre los derechos de los pueblos indígenas: las industrias extractivas y los pueblos indígenas.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1/07/13. A/HRC/24/41.</w:t>
      </w:r>
    </w:p>
  </w:footnote>
  <w:footnote w:id="62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DUE PROCESS OF LAW FUNDATION.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El derecho a la consulta previa, libre e informada de los pueblos indígenas: La situación de Bolivia, Colombia, Ecuador y Perú.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OXFAM: Washington D.C, 2003, pp. 77, 104.</w:t>
      </w:r>
    </w:p>
  </w:footnote>
  <w:footnote w:id="63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del Pueblo Saramaka.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54, §§ 17-18, 55.</w:t>
      </w:r>
    </w:p>
  </w:footnote>
  <w:footnote w:id="64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Comunidad Indígena Yakye Axa Vs. Paraguay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2005. Serie C No. 125, §§ 144-145.</w:t>
      </w:r>
    </w:p>
  </w:footnote>
  <w:footnote w:id="65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Ricardo Canese Vs. Paraguay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2014. Serie C No. 111, §96.</w:t>
      </w:r>
    </w:p>
  </w:footnote>
  <w:footnote w:id="66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ONU. Comité de DESC.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Observación General No 15. el derecho al agua (artículos 11 y 12 del Pacto Internacional de DESC).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E/C.12/2002/11. 20/01/03, § 6.</w:t>
      </w:r>
    </w:p>
  </w:footnote>
  <w:footnote w:id="67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SUPREMA CORTE DE LA NACIÓN ARGENTINA.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Fallo Menores Comunidad Paynemil s/accion de amparo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, Expte. 311-CA-1997. Sala II. Cámara de Apelaciones en lo Civil, Neuquen, 19/05/97; SOUTH AFRICA CONSTITUCIONAL COURT.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Case Lindiwe Mazibuko, Grace Munyai, Jennifer Makoatsane, Sophia Malekutu, Vusimuzi Paki Vs.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The City of Johannesburg, Johannesburg Water (PTY) LTD, The Minister of Water Affairs and Forestry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  <w:lang w:val="en-US"/>
        </w:rPr>
        <w:t>Case CCT 39/09. Judgment of 10/08/09.</w:t>
      </w:r>
    </w:p>
  </w:footnote>
  <w:footnote w:id="68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FAO.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World Water Development Report 2003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, p.102; OMS.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Informe sobre la Evaluación Mundial del Abastecimiento de Agua y el Saneamiento en 2000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; OMS.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PHAST Step-by-Step guide: a participatory approach for the control of diarrheal disease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. Ginebra, 1999.</w:t>
      </w:r>
    </w:p>
  </w:footnote>
  <w:footnote w:id="69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ONU.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Committee on DESC. General comment No. 3 (1990), on the nature of States parties’ obligations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, § 2; ONU.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Eliminating discrimination and inequalities in Access to water and sanitation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2015, p 11.</w:t>
      </w:r>
    </w:p>
  </w:footnote>
  <w:footnote w:id="70">
    <w:p w:rsidR="000B12C7" w:rsidRPr="009A604C" w:rsidRDefault="000B12C7" w:rsidP="009A604C">
      <w:pPr>
        <w:pStyle w:val="Normal2"/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OMS.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El Derecho al Agua.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Folleto Informativo nº 35, pp 30-31; FAO.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Política de la FAO sobre pueblos indígenas y tribales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Marzo de 2015, pp. 10-11.</w:t>
      </w:r>
    </w:p>
  </w:footnote>
  <w:footnote w:id="71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Vélez Loor Vs. Panamá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2010. Serie C No. 218, §216.</w:t>
      </w:r>
    </w:p>
  </w:footnote>
  <w:footnote w:id="72">
    <w:p w:rsidR="000B12C7" w:rsidRPr="00BE5135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ONU. </w:t>
      </w:r>
      <w:r w:rsidRPr="009A604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Committee on DESC</w:t>
      </w:r>
      <w:r w:rsidRPr="0031317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 xml:space="preserve"> </w:t>
      </w:r>
      <w:r w:rsidRPr="00BE5135">
        <w:rPr>
          <w:rFonts w:ascii="Times New Roman" w:eastAsia="Times New Roman" w:hAnsi="Times New Roman" w:cs="Times New Roman"/>
          <w:color w:val="auto"/>
          <w:sz w:val="20"/>
          <w:szCs w:val="20"/>
        </w:rPr>
        <w:t>Idem nota 69.</w:t>
      </w:r>
    </w:p>
  </w:footnote>
  <w:footnote w:id="73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Comunidad Indígena Yakye Axa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64, §§ 144-145.</w:t>
      </w:r>
    </w:p>
  </w:footnote>
  <w:footnote w:id="74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del Pueblo Saramaka.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54, § 128.</w:t>
      </w:r>
    </w:p>
  </w:footnote>
  <w:footnote w:id="75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KISS, Alexandre. The rights and interests of future generations and the precautionary principle. In: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 xml:space="preserve">The precautionary principle and international law: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the challenge of implementation.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>Hague: Kluwer Law International, 1996. pp 26-27.</w:t>
      </w:r>
    </w:p>
  </w:footnote>
  <w:footnote w:id="76">
    <w:p w:rsidR="000B12C7" w:rsidRPr="00BE5135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GUERRRA, Sidney. GUERRA, Sergio.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Intervenção Estatal Ambiental. </w:t>
      </w:r>
      <w:r w:rsidRPr="00BE5135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São Paulo: Atlas, 2012. pp. 129-134.</w:t>
      </w:r>
    </w:p>
  </w:footnote>
  <w:footnote w:id="77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ONU.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Working Group on Business and Human Rights. Guidance on National Action Plans on Business and Human Rights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>Version 1.0 I December 2014</w:t>
      </w:r>
    </w:p>
  </w:footnote>
  <w:footnote w:id="78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SEN, Amartya.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Desenvolvimento como liberdade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>. São Paulo: Companhia das Letras, 2010.</w:t>
      </w:r>
    </w:p>
  </w:footnote>
  <w:footnote w:id="79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ONU. Comité de DESC.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Observación General No. 3: La índole de las obligaciones de los Estados Partes (párrafo 1 del artículo 2 del Pacto)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>U.N. Doc. E/1991/23. 5º Período de Sesiones. 1990, § 9.</w:t>
      </w:r>
    </w:p>
  </w:footnote>
  <w:footnote w:id="80">
    <w:p w:rsidR="000B12C7" w:rsidRPr="009A604C" w:rsidRDefault="000B12C7" w:rsidP="009A604C">
      <w:pPr>
        <w:pStyle w:val="Textodenotaderodap"/>
        <w:jc w:val="both"/>
        <w:rPr>
          <w:rFonts w:ascii="Times New Roman" w:hAnsi="Times New Roman"/>
        </w:rPr>
      </w:pPr>
      <w:r w:rsidRPr="009A604C">
        <w:rPr>
          <w:rStyle w:val="Refdenotaderodap"/>
          <w:rFonts w:ascii="Times New Roman" w:hAnsi="Times New Roman"/>
        </w:rPr>
        <w:footnoteRef/>
      </w:r>
      <w:r w:rsidRPr="009A604C">
        <w:rPr>
          <w:rFonts w:ascii="Times New Roman" w:hAnsi="Times New Roman"/>
        </w:rPr>
        <w:t xml:space="preserve"> RICARDO, David. </w:t>
      </w:r>
      <w:r w:rsidRPr="009A604C">
        <w:rPr>
          <w:rFonts w:ascii="Times New Roman" w:hAnsi="Times New Roman"/>
          <w:i/>
        </w:rPr>
        <w:t>Princípios de Economia Política e Tributação</w:t>
      </w:r>
      <w:r w:rsidRPr="009A604C">
        <w:rPr>
          <w:rFonts w:ascii="Times New Roman" w:hAnsi="Times New Roman"/>
        </w:rPr>
        <w:t>. São Paulo: Nova Cultural, 1996.</w:t>
      </w:r>
    </w:p>
  </w:footnote>
  <w:footnote w:id="81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Acevedo Buendía y Otros (“Cesantes y jubilados de la Contraloria”). </w:t>
      </w:r>
      <w:r w:rsidRPr="00D0724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Idem nota </w:t>
      </w:r>
      <w:r w:rsidR="00D0724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55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198, §103</w:t>
      </w:r>
    </w:p>
  </w:footnote>
  <w:footnote w:id="82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Cinco Pensionistas Vs. Perú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2003. Serie C No. 98, §147.</w:t>
      </w:r>
    </w:p>
  </w:footnote>
  <w:footnote w:id="83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MACKAY, Fergus.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El Derecho de los Pueblos Indigenas al Consentimiento Libre, Previo e Informado y la Revisión de las Industrias Extractivas del Banco Mundial.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Forest People Programme, 2004. pp 22.</w:t>
      </w:r>
    </w:p>
  </w:footnote>
  <w:footnote w:id="84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del Pueblo Saramaka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54, §120.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</w:t>
      </w:r>
    </w:p>
  </w:footnote>
  <w:footnote w:id="85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Comunidad Indígena Xákmok Kásek.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58, § 242.</w:t>
      </w:r>
    </w:p>
  </w:footnote>
  <w:footnote w:id="86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Comunidad Indígena Yakye Axa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Idem nota 64, § 167; 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Vélez Loor.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>Idem nota 71, §216.</w:t>
      </w:r>
    </w:p>
  </w:footnote>
  <w:footnote w:id="87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Caso Comunidad Indígena Xákmok Kásek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>Idem nota 58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,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>§243.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de la Comunidad Moiwana Vs. Surinam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2006, Serie C No 145, §§ 101-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103. </w:t>
      </w:r>
    </w:p>
  </w:footnote>
  <w:footnote w:id="88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Comunidad Indígena Xákmok Kásek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58, §239</w:t>
      </w:r>
    </w:p>
  </w:footnote>
  <w:footnote w:id="89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Comunidad Indígena Yakye Axa.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64, § 162.</w:t>
      </w:r>
    </w:p>
  </w:footnote>
  <w:footnote w:id="90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Ivcher Bronstein Vs. Perú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1999. Serie C No. 54, § 108. </w:t>
      </w:r>
    </w:p>
  </w:footnote>
  <w:footnote w:id="91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CANÇADO TRINDADE, Antônio Augusto.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Tratado de Direito Internacional dos Direitos Humanos,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volume II.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Porto Alegre: Sergio Antonio Fabris, 1999. p.98;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Cantos Vs. Argentina.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2002. Serie C No. 97, §50.</w:t>
      </w:r>
    </w:p>
  </w:footnote>
  <w:footnote w:id="92">
    <w:p w:rsidR="000B12C7" w:rsidRPr="0031317A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Escher y otros</w:t>
      </w:r>
      <w:r w:rsidRPr="00894AE9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. </w:t>
      </w:r>
      <w:r w:rsidRPr="00894AE9">
        <w:rPr>
          <w:rFonts w:ascii="Times New Roman" w:eastAsia="Times New Roman" w:hAnsi="Times New Roman" w:cs="Times New Roman"/>
          <w:color w:val="auto"/>
          <w:sz w:val="20"/>
          <w:szCs w:val="20"/>
        </w:rPr>
        <w:t>Idem nota 47, §208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; 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Vélez Loor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>Idem nota 71, §108.</w:t>
      </w:r>
    </w:p>
  </w:footnote>
  <w:footnote w:id="93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Albán Cornejo e outros Vs.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Ecuador.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2007. Serie C No. 171, § 61.</w:t>
      </w:r>
    </w:p>
  </w:footnote>
  <w:footnote w:id="94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Baena Ricardo. </w:t>
      </w:r>
      <w:r w:rsidRPr="00894AE9">
        <w:rPr>
          <w:rFonts w:ascii="Times New Roman" w:eastAsia="Times New Roman" w:hAnsi="Times New Roman" w:cs="Times New Roman"/>
          <w:color w:val="auto"/>
          <w:sz w:val="20"/>
          <w:szCs w:val="20"/>
        </w:rPr>
        <w:t>Idem nota 47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>, § 79; CtIDH. 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Castañeda Gutman. </w:t>
      </w:r>
      <w:r w:rsidRPr="00894AE9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14, § 100</w:t>
      </w:r>
      <w:r w:rsidRPr="00894AE9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.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 </w:t>
      </w:r>
    </w:p>
  </w:footnote>
  <w:footnote w:id="95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hyperlink r:id="rId1">
        <w:r w:rsidRPr="009A604C">
          <w:rPr>
            <w:rFonts w:ascii="Times New Roman" w:eastAsia="Times New Roman" w:hAnsi="Times New Roman" w:cs="Times New Roman"/>
            <w:color w:val="auto"/>
            <w:sz w:val="20"/>
            <w:szCs w:val="20"/>
            <w:lang w:val="es-ES"/>
          </w:rPr>
          <w:t xml:space="preserve">CtIDH. </w:t>
        </w:r>
        <w:r w:rsidRPr="009A604C">
          <w:rPr>
            <w:rFonts w:ascii="Times New Roman" w:eastAsia="Times New Roman" w:hAnsi="Times New Roman" w:cs="Times New Roman"/>
            <w:i/>
            <w:color w:val="auto"/>
            <w:sz w:val="20"/>
            <w:szCs w:val="20"/>
            <w:lang w:val="es-ES"/>
          </w:rPr>
          <w:t>Caso Argüelles y otros Vs. Argentina</w:t>
        </w:r>
        <w:r w:rsidRPr="009A604C">
          <w:rPr>
            <w:rFonts w:ascii="Times New Roman" w:eastAsia="Times New Roman" w:hAnsi="Times New Roman" w:cs="Times New Roman"/>
            <w:color w:val="auto"/>
            <w:sz w:val="20"/>
            <w:szCs w:val="20"/>
            <w:lang w:val="es-ES"/>
          </w:rPr>
          <w:t>. 2014. Serie C No. 288, § 181</w:t>
        </w:r>
      </w:hyperlink>
    </w:p>
  </w:footnote>
  <w:footnote w:id="96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Godínez Cruz Vs.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Honduras.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1989. Serie C No. 5, §70</w:t>
      </w:r>
    </w:p>
  </w:footnote>
  <w:footnote w:id="97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Comunidad Indígena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Xákmok Kásek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</w:rPr>
        <w:t>Idem nota 58, § 133</w:t>
      </w:r>
    </w:p>
  </w:footnote>
  <w:footnote w:id="98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Familia </w:t>
      </w:r>
      <w:r w:rsidRPr="00894AE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Pacheco Tineo. </w:t>
      </w:r>
      <w:r w:rsidRPr="00894AE9">
        <w:rPr>
          <w:rFonts w:ascii="Times New Roman" w:eastAsia="Times New Roman" w:hAnsi="Times New Roman" w:cs="Times New Roman"/>
          <w:color w:val="auto"/>
          <w:sz w:val="20"/>
          <w:szCs w:val="20"/>
        </w:rPr>
        <w:t>Idem nota 6</w:t>
      </w:r>
      <w:r w:rsidRPr="00894AE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, </w:t>
      </w:r>
      <w:r w:rsidRPr="00894AE9">
        <w:rPr>
          <w:rFonts w:ascii="Times New Roman" w:eastAsia="Times New Roman" w:hAnsi="Times New Roman" w:cs="Times New Roman"/>
          <w:color w:val="auto"/>
          <w:sz w:val="20"/>
          <w:szCs w:val="20"/>
        </w:rPr>
        <w:t>§ 188</w:t>
      </w:r>
    </w:p>
  </w:footnote>
  <w:footnote w:id="99">
    <w:p w:rsidR="000B12C7" w:rsidRPr="009A604C" w:rsidRDefault="000B12C7" w:rsidP="009A604C">
      <w:pPr>
        <w:pStyle w:val="Textodenotaderodap"/>
        <w:jc w:val="both"/>
        <w:rPr>
          <w:rFonts w:ascii="Times New Roman" w:hAnsi="Times New Roman"/>
        </w:rPr>
      </w:pPr>
      <w:r w:rsidRPr="009A604C">
        <w:rPr>
          <w:rStyle w:val="Refdenotaderodap"/>
          <w:rFonts w:ascii="Times New Roman" w:hAnsi="Times New Roman"/>
        </w:rPr>
        <w:footnoteRef/>
      </w:r>
      <w:r w:rsidRPr="009A604C">
        <w:rPr>
          <w:rFonts w:ascii="Times New Roman" w:hAnsi="Times New Roman"/>
        </w:rPr>
        <w:t>SUPREMO TRIBUNAL FEDERAL DA REPÚBLICA FEDERATIVA DO BRASIL. Habeas Corpus 83.113- Questão de Ordem. Relator Ministro Celso de Mello. 26/06/03</w:t>
      </w:r>
    </w:p>
  </w:footnote>
  <w:footnote w:id="100">
    <w:p w:rsidR="000B12C7" w:rsidRPr="009A604C" w:rsidRDefault="000B12C7" w:rsidP="009A604C">
      <w:pPr>
        <w:pStyle w:val="Textodenotaderodap"/>
        <w:jc w:val="both"/>
        <w:rPr>
          <w:rFonts w:ascii="Times New Roman" w:hAnsi="Times New Roman"/>
        </w:rPr>
      </w:pPr>
      <w:r w:rsidRPr="009A604C">
        <w:rPr>
          <w:rStyle w:val="Refdenotaderodap"/>
          <w:rFonts w:ascii="Times New Roman" w:hAnsi="Times New Roman"/>
        </w:rPr>
        <w:footnoteRef/>
      </w:r>
      <w:r w:rsidRPr="009A604C">
        <w:rPr>
          <w:rFonts w:ascii="Times New Roman" w:hAnsi="Times New Roman"/>
        </w:rPr>
        <w:t>CORTE SUPREMA DE JUSTICIA DE COSTA RICA. Sala Constitucional de la Corte Suprema. Sentencia 8666-02. 6/09/2002.</w:t>
      </w:r>
    </w:p>
  </w:footnote>
  <w:footnote w:id="101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Manuel Cepeda Vargas Vs.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Colombia.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2010. Serie C No. 213, § 166</w:t>
      </w:r>
    </w:p>
  </w:footnote>
  <w:footnote w:id="102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="00BE5135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COMISIÓN INTERNACIONAL DE JURIS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TAS.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Impunidad y Graves Violaciones de Derechos Humanos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Ginebra: ICJ, 2008</w:t>
      </w:r>
    </w:p>
  </w:footnote>
  <w:footnote w:id="103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SHELTON, Dinah.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Remedies in International Human Rights Law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>Oxford University Press, 2010.</w:t>
      </w:r>
    </w:p>
  </w:footnote>
  <w:footnote w:id="104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MAZZUOLI, Valerio de Oliveira.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Curso de Direito Internacional Público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São Paulo: Revista dos Tribunais, 2014, pp. 507-602. </w:t>
      </w:r>
    </w:p>
  </w:footnote>
  <w:footnote w:id="105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Caso Cantos</w:t>
      </w:r>
      <w:r w:rsidRPr="00894AE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. </w:t>
      </w:r>
      <w:r w:rsidRPr="00894AE9">
        <w:rPr>
          <w:rFonts w:ascii="Times New Roman" w:eastAsia="Times New Roman" w:hAnsi="Times New Roman" w:cs="Times New Roman"/>
          <w:color w:val="auto"/>
          <w:sz w:val="20"/>
          <w:szCs w:val="20"/>
        </w:rPr>
        <w:t>Idem nota 97,</w:t>
      </w:r>
      <w:r w:rsidRPr="00894AE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Pr="00894AE9">
        <w:rPr>
          <w:rFonts w:ascii="Times New Roman" w:eastAsia="Times New Roman" w:hAnsi="Times New Roman" w:cs="Times New Roman"/>
          <w:color w:val="auto"/>
          <w:sz w:val="20"/>
          <w:szCs w:val="20"/>
        </w:rPr>
        <w:t>§52.</w:t>
      </w:r>
    </w:p>
  </w:footnote>
  <w:footnote w:id="106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Godínez Cruz. </w:t>
      </w:r>
      <w:r w:rsidRPr="00894AE9">
        <w:rPr>
          <w:rFonts w:ascii="Times New Roman" w:eastAsia="Times New Roman" w:hAnsi="Times New Roman" w:cs="Times New Roman"/>
          <w:color w:val="auto"/>
          <w:sz w:val="20"/>
          <w:szCs w:val="20"/>
        </w:rPr>
        <w:t>Idem nota 96, §70.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</w:footnote>
  <w:footnote w:id="107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Gomes Lund y Otros (“Guerrilha do Araguaia”) Vs.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Brasil.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2010. Serie C No 219, §211.</w:t>
      </w:r>
    </w:p>
  </w:footnote>
  <w:footnote w:id="108">
    <w:p w:rsidR="000B12C7" w:rsidRPr="00BE5135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DUE PROCESS OF LAW FUNDATION</w:t>
      </w:r>
      <w:r w:rsidRPr="00894AE9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. </w:t>
      </w:r>
      <w:r w:rsidRPr="00BE5135">
        <w:rPr>
          <w:rFonts w:ascii="Times New Roman" w:eastAsia="Times New Roman" w:hAnsi="Times New Roman" w:cs="Times New Roman"/>
          <w:color w:val="auto"/>
          <w:sz w:val="20"/>
          <w:szCs w:val="20"/>
        </w:rPr>
        <w:t>Idem nota 68, p. 27.</w:t>
      </w:r>
    </w:p>
  </w:footnote>
  <w:footnote w:id="109">
    <w:p w:rsidR="000B12C7" w:rsidRPr="00894AE9" w:rsidRDefault="000B12C7" w:rsidP="009A604C">
      <w:pPr>
        <w:pStyle w:val="Textodenotaderodap"/>
        <w:jc w:val="both"/>
        <w:rPr>
          <w:rFonts w:ascii="Times New Roman" w:hAnsi="Times New Roman"/>
          <w:lang w:val="es-ES"/>
        </w:rPr>
      </w:pPr>
      <w:r w:rsidRPr="00894AE9">
        <w:rPr>
          <w:rStyle w:val="Refdenotaderodap"/>
          <w:rFonts w:ascii="Times New Roman" w:hAnsi="Times New Roman"/>
        </w:rPr>
        <w:footnoteRef/>
      </w:r>
      <w:r w:rsidRPr="00894AE9">
        <w:rPr>
          <w:rFonts w:ascii="Times New Roman" w:hAnsi="Times New Roman"/>
          <w:lang w:val="es-ES"/>
        </w:rPr>
        <w:t xml:space="preserve">CtIDH. </w:t>
      </w:r>
      <w:r w:rsidRPr="00894AE9">
        <w:rPr>
          <w:rFonts w:ascii="Times New Roman" w:hAnsi="Times New Roman"/>
          <w:i/>
          <w:lang w:val="es-ES"/>
        </w:rPr>
        <w:t xml:space="preserve">Caso Apitz Barbera y otros Vs. </w:t>
      </w:r>
      <w:r w:rsidRPr="00894AE9">
        <w:rPr>
          <w:rFonts w:ascii="Times New Roman" w:hAnsi="Times New Roman"/>
          <w:i/>
        </w:rPr>
        <w:t xml:space="preserve">Venezuela. </w:t>
      </w:r>
      <w:r w:rsidRPr="00894AE9">
        <w:rPr>
          <w:rFonts w:ascii="Times New Roman" w:hAnsi="Times New Roman"/>
          <w:lang w:val="es-ES"/>
        </w:rPr>
        <w:t>2008. Serie C No. 182, §75.</w:t>
      </w:r>
    </w:p>
  </w:footnote>
  <w:footnote w:id="110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894AE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894AE9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CtIDH. </w:t>
      </w:r>
      <w:r w:rsidRPr="00894AE9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Pueblo Indígena Kichwa de Sarayaku. </w:t>
      </w:r>
      <w:r w:rsidRPr="00894AE9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58, §187.</w:t>
      </w:r>
    </w:p>
  </w:footnote>
  <w:footnote w:id="111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CIDH.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Derecho de los Pueblos Indígenas y Tribales sobre sus tierras ancestrales y recursos naturales: normas y jurisprudencia del Sistema Interamericano de Derechos Humanos.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2009, p. 125.</w:t>
      </w:r>
    </w:p>
  </w:footnote>
  <w:footnote w:id="112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Yakye Axa.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Idem nota 64, §51.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</w:t>
      </w:r>
    </w:p>
  </w:footnote>
  <w:footnote w:id="113">
    <w:p w:rsidR="000B12C7" w:rsidRPr="009A604C" w:rsidRDefault="000B12C7" w:rsidP="009A604C">
      <w:pPr>
        <w:pStyle w:val="Textodenotaderodap"/>
        <w:jc w:val="both"/>
        <w:rPr>
          <w:rFonts w:ascii="Times New Roman" w:hAnsi="Times New Roman"/>
          <w:i/>
          <w:lang w:val="es-ES"/>
        </w:rPr>
      </w:pPr>
      <w:r w:rsidRPr="009A604C">
        <w:rPr>
          <w:rStyle w:val="Refdenotaderodap"/>
          <w:rFonts w:ascii="Times New Roman" w:hAnsi="Times New Roman"/>
        </w:rPr>
        <w:footnoteRef/>
      </w:r>
      <w:r w:rsidRPr="0031317A">
        <w:rPr>
          <w:rFonts w:ascii="Times New Roman" w:hAnsi="Times New Roman"/>
          <w:lang w:val="es-ES"/>
        </w:rPr>
        <w:t xml:space="preserve">CIDH. </w:t>
      </w:r>
      <w:r w:rsidRPr="0031317A">
        <w:rPr>
          <w:rFonts w:ascii="Times New Roman" w:eastAsia="Times New Roman" w:hAnsi="Times New Roman"/>
          <w:i/>
          <w:lang w:val="es-ES"/>
        </w:rPr>
        <w:t>Derecho de los Pueblos Indígenas y Tribales sobre sus tierras ancestrales y recursos naturales</w:t>
      </w:r>
      <w:r w:rsidRPr="0031317A">
        <w:rPr>
          <w:rFonts w:ascii="Times New Roman" w:hAnsi="Times New Roman"/>
          <w:i/>
          <w:lang w:val="es-ES"/>
        </w:rPr>
        <w:t xml:space="preserve">. </w:t>
      </w:r>
      <w:r w:rsidRPr="0031317A">
        <w:rPr>
          <w:rFonts w:ascii="Times New Roman" w:hAnsi="Times New Roman"/>
          <w:lang w:val="es-ES"/>
        </w:rPr>
        <w:t>Idem nota 111, p. 220</w:t>
      </w:r>
      <w:r w:rsidRPr="009A604C">
        <w:rPr>
          <w:rFonts w:ascii="Times New Roman" w:hAnsi="Times New Roman"/>
          <w:lang w:val="es-ES"/>
        </w:rPr>
        <w:t xml:space="preserve">. </w:t>
      </w:r>
    </w:p>
  </w:footnote>
  <w:footnote w:id="114">
    <w:p w:rsidR="000B12C7" w:rsidRPr="0060453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31317A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31317A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Pueblo Indígena Kichwa de Sarayaku. 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Idem nota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58</w:t>
      </w:r>
      <w:r w:rsidRPr="0031317A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, §200.</w:t>
      </w:r>
    </w:p>
  </w:footnote>
  <w:footnote w:id="115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INTERNATIONAL COURT OF JUSTICE.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US"/>
        </w:rPr>
        <w:t>Case Factory at Chorzów.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1927. </w:t>
      </w:r>
      <w:r w:rsidRPr="00BE5135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Series A No 9, §21; 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</w:t>
      </w:r>
      <w:r w:rsidRPr="0060453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Ximenes Lopes</w:t>
      </w:r>
      <w:r w:rsidRPr="0060453C">
        <w:rPr>
          <w:rFonts w:ascii="Times New Roman" w:eastAsia="Times New Roman" w:hAnsi="Times New Roman" w:cs="Times New Roman"/>
          <w:color w:val="auto"/>
          <w:sz w:val="20"/>
          <w:szCs w:val="20"/>
        </w:rPr>
        <w:t>.Idem nota 8, § 208</w:t>
      </w:r>
    </w:p>
  </w:footnote>
  <w:footnote w:id="116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CtIDH.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Caso Radilla Pacheco Vs. México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. 2009. Serie C No 209,§ 376.</w:t>
      </w:r>
    </w:p>
  </w:footnote>
  <w:footnote w:id="117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0453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60453C">
        <w:rPr>
          <w:rFonts w:ascii="Times New Roman" w:hAnsi="Times New Roman" w:cs="Times New Roman"/>
          <w:color w:val="auto"/>
          <w:sz w:val="20"/>
          <w:szCs w:val="20"/>
        </w:rPr>
        <w:t xml:space="preserve">CtIDH. </w:t>
      </w:r>
      <w:r w:rsidRPr="0060453C">
        <w:rPr>
          <w:rFonts w:ascii="Times New Roman" w:hAnsi="Times New Roman" w:cs="Times New Roman"/>
          <w:i/>
          <w:color w:val="auto"/>
          <w:sz w:val="20"/>
          <w:szCs w:val="20"/>
        </w:rPr>
        <w:t>Caso Huilca Tecse</w:t>
      </w:r>
      <w:r w:rsidRPr="0060453C">
        <w:rPr>
          <w:rFonts w:ascii="Times New Roman" w:hAnsi="Times New Roman" w:cs="Times New Roman"/>
          <w:color w:val="auto"/>
          <w:sz w:val="20"/>
          <w:szCs w:val="20"/>
        </w:rPr>
        <w:t>. Idem nota 48, § 112</w:t>
      </w:r>
      <w:r w:rsidRPr="009A604C">
        <w:rPr>
          <w:rFonts w:ascii="Times New Roman" w:hAnsi="Times New Roman" w:cs="Times New Roman"/>
          <w:color w:val="auto"/>
          <w:sz w:val="20"/>
          <w:szCs w:val="20"/>
        </w:rPr>
        <w:t>.</w:t>
      </w:r>
    </w:p>
  </w:footnote>
  <w:footnote w:id="118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Caso Fontevecchia e D’Amico Vs.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Argentina. 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2011. Serie C No 238, § 102;</w:t>
      </w:r>
    </w:p>
  </w:footnote>
  <w:footnote w:id="119">
    <w:p w:rsidR="000B12C7" w:rsidRPr="009A604C" w:rsidRDefault="000B12C7" w:rsidP="009A604C">
      <w:pPr>
        <w:pStyle w:val="Normal2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9A604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CtIDH. </w:t>
      </w:r>
      <w:r w:rsidRPr="009A604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Caso de la Comunidad </w:t>
      </w:r>
      <w:r w:rsidRPr="0060453C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 xml:space="preserve">Moiwana. </w:t>
      </w:r>
      <w:r w:rsidRPr="0060453C">
        <w:rPr>
          <w:rFonts w:ascii="Times New Roman" w:hAnsi="Times New Roman" w:cs="Times New Roman"/>
          <w:color w:val="auto"/>
          <w:sz w:val="20"/>
          <w:szCs w:val="20"/>
          <w:lang w:val="es-ES"/>
        </w:rPr>
        <w:t>Idem nota 87</w:t>
      </w:r>
      <w:r w:rsidRPr="0060453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, § 171;</w:t>
      </w:r>
      <w:r w:rsidRPr="009A604C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C7" w:rsidRPr="00D87EF5" w:rsidRDefault="000B12C7" w:rsidP="009B571F">
    <w:pPr>
      <w:pStyle w:val="Cabealh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  <w:r w:rsidRPr="00D87EF5">
      <w:rPr>
        <w:rFonts w:ascii="Times New Roman" w:hAnsi="Times New Roman"/>
        <w:sz w:val="24"/>
        <w:szCs w:val="24"/>
      </w:rPr>
      <w:t>70</w:t>
    </w:r>
  </w:p>
  <w:p w:rsidR="000B12C7" w:rsidRPr="009B571F" w:rsidRDefault="000B12C7" w:rsidP="009B571F">
    <w:pPr>
      <w:pStyle w:val="Cabealho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C7" w:rsidRPr="00D87EF5" w:rsidRDefault="000B12C7" w:rsidP="00C7060F">
    <w:pPr>
      <w:pStyle w:val="Cabealh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  <w:r w:rsidRPr="00D87EF5">
      <w:rPr>
        <w:rFonts w:ascii="Times New Roman" w:hAnsi="Times New Roman"/>
        <w:sz w:val="24"/>
        <w:szCs w:val="24"/>
      </w:rPr>
      <w:t>70</w:t>
    </w:r>
  </w:p>
  <w:p w:rsidR="000B12C7" w:rsidRDefault="000B12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E47"/>
    <w:multiLevelType w:val="hybridMultilevel"/>
    <w:tmpl w:val="A9E0A034"/>
    <w:lvl w:ilvl="0" w:tplc="982EA086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Univers" w:hAnsi="Univers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:lang w:val="pt-B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3" w:tplc="349811C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B6B2C"/>
    <w:multiLevelType w:val="hybridMultilevel"/>
    <w:tmpl w:val="E5A44C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3F80"/>
    <w:multiLevelType w:val="multilevel"/>
    <w:tmpl w:val="8B7C9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E542D5"/>
    <w:multiLevelType w:val="hybridMultilevel"/>
    <w:tmpl w:val="55BC9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694"/>
    <w:multiLevelType w:val="hybridMultilevel"/>
    <w:tmpl w:val="03FE88A6"/>
    <w:lvl w:ilvl="0" w:tplc="474E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2F77"/>
    <w:multiLevelType w:val="hybridMultilevel"/>
    <w:tmpl w:val="6D664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4F4C"/>
    <w:multiLevelType w:val="hybridMultilevel"/>
    <w:tmpl w:val="C52A9920"/>
    <w:lvl w:ilvl="0" w:tplc="6EFAD8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36B8"/>
    <w:multiLevelType w:val="hybridMultilevel"/>
    <w:tmpl w:val="6F64AC84"/>
    <w:lvl w:ilvl="0" w:tplc="F8706DC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627DB"/>
    <w:multiLevelType w:val="hybridMultilevel"/>
    <w:tmpl w:val="C52A9920"/>
    <w:lvl w:ilvl="0" w:tplc="6EFAD8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6FFF"/>
    <w:multiLevelType w:val="hybridMultilevel"/>
    <w:tmpl w:val="3990A0F2"/>
    <w:lvl w:ilvl="0" w:tplc="7B46C3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798E"/>
    <w:multiLevelType w:val="hybridMultilevel"/>
    <w:tmpl w:val="784672C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21857"/>
    <w:multiLevelType w:val="hybridMultilevel"/>
    <w:tmpl w:val="38686B5E"/>
    <w:lvl w:ilvl="0" w:tplc="1BD2CC1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A325C"/>
    <w:multiLevelType w:val="hybridMultilevel"/>
    <w:tmpl w:val="832CBE38"/>
    <w:lvl w:ilvl="0" w:tplc="B492C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56D40"/>
    <w:multiLevelType w:val="hybridMultilevel"/>
    <w:tmpl w:val="15FE2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C1A0F"/>
    <w:multiLevelType w:val="hybridMultilevel"/>
    <w:tmpl w:val="60643068"/>
    <w:lvl w:ilvl="0" w:tplc="E014E9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97889"/>
    <w:multiLevelType w:val="hybridMultilevel"/>
    <w:tmpl w:val="9ACE3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D3AF6"/>
    <w:multiLevelType w:val="hybridMultilevel"/>
    <w:tmpl w:val="3C6EC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8761E"/>
    <w:multiLevelType w:val="multilevel"/>
    <w:tmpl w:val="46500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B247257"/>
    <w:multiLevelType w:val="hybridMultilevel"/>
    <w:tmpl w:val="F8568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D533A"/>
    <w:multiLevelType w:val="hybridMultilevel"/>
    <w:tmpl w:val="4942B7BE"/>
    <w:lvl w:ilvl="0" w:tplc="0416000F">
      <w:start w:val="1"/>
      <w:numFmt w:val="decimal"/>
      <w:lvlText w:val="%1."/>
      <w:lvlJc w:val="left"/>
      <w:pPr>
        <w:ind w:left="2345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45DDC"/>
    <w:multiLevelType w:val="hybridMultilevel"/>
    <w:tmpl w:val="A04ADC4E"/>
    <w:lvl w:ilvl="0" w:tplc="360AA0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047F8"/>
    <w:multiLevelType w:val="hybridMultilevel"/>
    <w:tmpl w:val="83BC4F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A33C9"/>
    <w:multiLevelType w:val="hybridMultilevel"/>
    <w:tmpl w:val="C820FE46"/>
    <w:lvl w:ilvl="0" w:tplc="A8D69B28">
      <w:start w:val="20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4555"/>
    <w:multiLevelType w:val="hybridMultilevel"/>
    <w:tmpl w:val="3626DD0C"/>
    <w:lvl w:ilvl="0" w:tplc="A19668E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E123B"/>
    <w:multiLevelType w:val="hybridMultilevel"/>
    <w:tmpl w:val="3E7682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96DDD"/>
    <w:multiLevelType w:val="hybridMultilevel"/>
    <w:tmpl w:val="D2F48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A2889"/>
    <w:multiLevelType w:val="hybridMultilevel"/>
    <w:tmpl w:val="A7F283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20"/>
  </w:num>
  <w:num w:numId="9">
    <w:abstractNumId w:val="11"/>
  </w:num>
  <w:num w:numId="10">
    <w:abstractNumId w:val="2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6"/>
  </w:num>
  <w:num w:numId="14">
    <w:abstractNumId w:val="24"/>
  </w:num>
  <w:num w:numId="15">
    <w:abstractNumId w:val="18"/>
  </w:num>
  <w:num w:numId="16">
    <w:abstractNumId w:val="13"/>
  </w:num>
  <w:num w:numId="17">
    <w:abstractNumId w:val="19"/>
  </w:num>
  <w:num w:numId="18">
    <w:abstractNumId w:val="14"/>
  </w:num>
  <w:num w:numId="19">
    <w:abstractNumId w:val="3"/>
  </w:num>
  <w:num w:numId="20">
    <w:abstractNumId w:val="23"/>
  </w:num>
  <w:num w:numId="21">
    <w:abstractNumId w:val="9"/>
  </w:num>
  <w:num w:numId="22">
    <w:abstractNumId w:val="1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0"/>
  </w:num>
  <w:num w:numId="26">
    <w:abstractNumId w:val="7"/>
  </w:num>
  <w:num w:numId="27">
    <w:abstractNumId w:val="15"/>
  </w:num>
  <w:num w:numId="28">
    <w:abstractNumId w:val="2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F5"/>
    <w:rsid w:val="00000956"/>
    <w:rsid w:val="000010F4"/>
    <w:rsid w:val="000028B9"/>
    <w:rsid w:val="000031B6"/>
    <w:rsid w:val="000034D3"/>
    <w:rsid w:val="000036FE"/>
    <w:rsid w:val="000069AC"/>
    <w:rsid w:val="00007248"/>
    <w:rsid w:val="00007872"/>
    <w:rsid w:val="0001043D"/>
    <w:rsid w:val="00010E3B"/>
    <w:rsid w:val="00012321"/>
    <w:rsid w:val="00012CB5"/>
    <w:rsid w:val="00013E6D"/>
    <w:rsid w:val="0001549E"/>
    <w:rsid w:val="00015BB1"/>
    <w:rsid w:val="00016096"/>
    <w:rsid w:val="00016854"/>
    <w:rsid w:val="0001707D"/>
    <w:rsid w:val="00017F67"/>
    <w:rsid w:val="0002053F"/>
    <w:rsid w:val="00021411"/>
    <w:rsid w:val="00021F54"/>
    <w:rsid w:val="00022702"/>
    <w:rsid w:val="0002622E"/>
    <w:rsid w:val="000276D5"/>
    <w:rsid w:val="0002796D"/>
    <w:rsid w:val="00027CD4"/>
    <w:rsid w:val="00030133"/>
    <w:rsid w:val="00031EFF"/>
    <w:rsid w:val="0003214D"/>
    <w:rsid w:val="000348FF"/>
    <w:rsid w:val="00035D1E"/>
    <w:rsid w:val="00036255"/>
    <w:rsid w:val="0003742C"/>
    <w:rsid w:val="00037590"/>
    <w:rsid w:val="000403DD"/>
    <w:rsid w:val="00040803"/>
    <w:rsid w:val="00041BC8"/>
    <w:rsid w:val="00042C2D"/>
    <w:rsid w:val="000430B1"/>
    <w:rsid w:val="000436B8"/>
    <w:rsid w:val="000439E8"/>
    <w:rsid w:val="00043C19"/>
    <w:rsid w:val="000449CB"/>
    <w:rsid w:val="00045578"/>
    <w:rsid w:val="00045E5E"/>
    <w:rsid w:val="00045FF4"/>
    <w:rsid w:val="000464D2"/>
    <w:rsid w:val="00046AED"/>
    <w:rsid w:val="00046B74"/>
    <w:rsid w:val="00047113"/>
    <w:rsid w:val="000471C8"/>
    <w:rsid w:val="0004774E"/>
    <w:rsid w:val="0005062F"/>
    <w:rsid w:val="0005172C"/>
    <w:rsid w:val="000518FC"/>
    <w:rsid w:val="00051A5D"/>
    <w:rsid w:val="00051FE2"/>
    <w:rsid w:val="00052BFC"/>
    <w:rsid w:val="000531CF"/>
    <w:rsid w:val="000535A2"/>
    <w:rsid w:val="000539BC"/>
    <w:rsid w:val="000553C8"/>
    <w:rsid w:val="0005556C"/>
    <w:rsid w:val="000556A4"/>
    <w:rsid w:val="000567FB"/>
    <w:rsid w:val="00057138"/>
    <w:rsid w:val="00057177"/>
    <w:rsid w:val="00061476"/>
    <w:rsid w:val="00061E51"/>
    <w:rsid w:val="00062AD6"/>
    <w:rsid w:val="00062F23"/>
    <w:rsid w:val="00064746"/>
    <w:rsid w:val="00064F4A"/>
    <w:rsid w:val="00065709"/>
    <w:rsid w:val="000665F7"/>
    <w:rsid w:val="000704EF"/>
    <w:rsid w:val="000705B6"/>
    <w:rsid w:val="00071532"/>
    <w:rsid w:val="000734A4"/>
    <w:rsid w:val="00074796"/>
    <w:rsid w:val="00075069"/>
    <w:rsid w:val="00075EB2"/>
    <w:rsid w:val="00076840"/>
    <w:rsid w:val="0008012C"/>
    <w:rsid w:val="00080BFA"/>
    <w:rsid w:val="00084DAF"/>
    <w:rsid w:val="00084E02"/>
    <w:rsid w:val="0008583F"/>
    <w:rsid w:val="00085CAC"/>
    <w:rsid w:val="00086493"/>
    <w:rsid w:val="00086D7A"/>
    <w:rsid w:val="000878BD"/>
    <w:rsid w:val="00090239"/>
    <w:rsid w:val="000915E0"/>
    <w:rsid w:val="000925AD"/>
    <w:rsid w:val="00092C88"/>
    <w:rsid w:val="00094CF5"/>
    <w:rsid w:val="00095132"/>
    <w:rsid w:val="00096B0D"/>
    <w:rsid w:val="00096FF8"/>
    <w:rsid w:val="0009732B"/>
    <w:rsid w:val="00097444"/>
    <w:rsid w:val="000A065E"/>
    <w:rsid w:val="000A0893"/>
    <w:rsid w:val="000A1830"/>
    <w:rsid w:val="000A3A3B"/>
    <w:rsid w:val="000A3D13"/>
    <w:rsid w:val="000A3FDB"/>
    <w:rsid w:val="000A4DF9"/>
    <w:rsid w:val="000A52D0"/>
    <w:rsid w:val="000A54CD"/>
    <w:rsid w:val="000A5FEB"/>
    <w:rsid w:val="000A6BC3"/>
    <w:rsid w:val="000A7C3F"/>
    <w:rsid w:val="000A7CD3"/>
    <w:rsid w:val="000A7E37"/>
    <w:rsid w:val="000B0C3A"/>
    <w:rsid w:val="000B12C7"/>
    <w:rsid w:val="000B16E5"/>
    <w:rsid w:val="000B336F"/>
    <w:rsid w:val="000B3DE4"/>
    <w:rsid w:val="000B530C"/>
    <w:rsid w:val="000B6053"/>
    <w:rsid w:val="000C0092"/>
    <w:rsid w:val="000C013F"/>
    <w:rsid w:val="000C04C0"/>
    <w:rsid w:val="000C0CD9"/>
    <w:rsid w:val="000C0D76"/>
    <w:rsid w:val="000C22C3"/>
    <w:rsid w:val="000C2DF8"/>
    <w:rsid w:val="000C4045"/>
    <w:rsid w:val="000C4818"/>
    <w:rsid w:val="000C7A11"/>
    <w:rsid w:val="000D1040"/>
    <w:rsid w:val="000D2582"/>
    <w:rsid w:val="000D44C0"/>
    <w:rsid w:val="000D4875"/>
    <w:rsid w:val="000D5673"/>
    <w:rsid w:val="000D7B69"/>
    <w:rsid w:val="000E1464"/>
    <w:rsid w:val="000E17CA"/>
    <w:rsid w:val="000E264C"/>
    <w:rsid w:val="000E31CC"/>
    <w:rsid w:val="000E3923"/>
    <w:rsid w:val="000E4106"/>
    <w:rsid w:val="000E52B0"/>
    <w:rsid w:val="000E5F95"/>
    <w:rsid w:val="000E60A1"/>
    <w:rsid w:val="000E6219"/>
    <w:rsid w:val="000E646E"/>
    <w:rsid w:val="000F2038"/>
    <w:rsid w:val="000F2986"/>
    <w:rsid w:val="000F2D21"/>
    <w:rsid w:val="000F3CB5"/>
    <w:rsid w:val="000F404A"/>
    <w:rsid w:val="000F42F0"/>
    <w:rsid w:val="000F4AB5"/>
    <w:rsid w:val="000F5EED"/>
    <w:rsid w:val="000F61D3"/>
    <w:rsid w:val="000F77C4"/>
    <w:rsid w:val="001001FF"/>
    <w:rsid w:val="00100ABA"/>
    <w:rsid w:val="001017DC"/>
    <w:rsid w:val="00101F90"/>
    <w:rsid w:val="0010298E"/>
    <w:rsid w:val="00103065"/>
    <w:rsid w:val="001048B2"/>
    <w:rsid w:val="00104E2B"/>
    <w:rsid w:val="00107720"/>
    <w:rsid w:val="00107B23"/>
    <w:rsid w:val="00107E64"/>
    <w:rsid w:val="00111093"/>
    <w:rsid w:val="00111A9C"/>
    <w:rsid w:val="001129F8"/>
    <w:rsid w:val="00113023"/>
    <w:rsid w:val="0011310A"/>
    <w:rsid w:val="001149BE"/>
    <w:rsid w:val="00114DA7"/>
    <w:rsid w:val="00115235"/>
    <w:rsid w:val="001154BF"/>
    <w:rsid w:val="001174C3"/>
    <w:rsid w:val="00120247"/>
    <w:rsid w:val="0012033B"/>
    <w:rsid w:val="00120369"/>
    <w:rsid w:val="00120F07"/>
    <w:rsid w:val="00120FAF"/>
    <w:rsid w:val="001218E9"/>
    <w:rsid w:val="001223E3"/>
    <w:rsid w:val="00123360"/>
    <w:rsid w:val="001242C3"/>
    <w:rsid w:val="00125089"/>
    <w:rsid w:val="00125468"/>
    <w:rsid w:val="001259C7"/>
    <w:rsid w:val="001270E7"/>
    <w:rsid w:val="0012760D"/>
    <w:rsid w:val="00127D25"/>
    <w:rsid w:val="00130278"/>
    <w:rsid w:val="00130E1A"/>
    <w:rsid w:val="001323A9"/>
    <w:rsid w:val="00132DD0"/>
    <w:rsid w:val="00133BB0"/>
    <w:rsid w:val="00133D87"/>
    <w:rsid w:val="00133DA6"/>
    <w:rsid w:val="001347A6"/>
    <w:rsid w:val="00134A24"/>
    <w:rsid w:val="001351EB"/>
    <w:rsid w:val="001357AA"/>
    <w:rsid w:val="00135A1A"/>
    <w:rsid w:val="0013699A"/>
    <w:rsid w:val="00141B67"/>
    <w:rsid w:val="00142A70"/>
    <w:rsid w:val="00142A99"/>
    <w:rsid w:val="001455D7"/>
    <w:rsid w:val="00145F06"/>
    <w:rsid w:val="00147570"/>
    <w:rsid w:val="00147B43"/>
    <w:rsid w:val="001513AC"/>
    <w:rsid w:val="001517FB"/>
    <w:rsid w:val="00154675"/>
    <w:rsid w:val="00154C3C"/>
    <w:rsid w:val="00157650"/>
    <w:rsid w:val="001602D3"/>
    <w:rsid w:val="00160A3F"/>
    <w:rsid w:val="00161895"/>
    <w:rsid w:val="00161B60"/>
    <w:rsid w:val="0016275F"/>
    <w:rsid w:val="00164501"/>
    <w:rsid w:val="00165641"/>
    <w:rsid w:val="001656AB"/>
    <w:rsid w:val="00165B44"/>
    <w:rsid w:val="00167946"/>
    <w:rsid w:val="00167B9E"/>
    <w:rsid w:val="00167F61"/>
    <w:rsid w:val="001704A5"/>
    <w:rsid w:val="001705C8"/>
    <w:rsid w:val="00170693"/>
    <w:rsid w:val="00171CB5"/>
    <w:rsid w:val="00171E5E"/>
    <w:rsid w:val="00172FD5"/>
    <w:rsid w:val="00173D2E"/>
    <w:rsid w:val="00173F02"/>
    <w:rsid w:val="00176B4D"/>
    <w:rsid w:val="001773E1"/>
    <w:rsid w:val="00177F31"/>
    <w:rsid w:val="00180124"/>
    <w:rsid w:val="001808F1"/>
    <w:rsid w:val="00181B2A"/>
    <w:rsid w:val="00181DC5"/>
    <w:rsid w:val="00182D53"/>
    <w:rsid w:val="001849F8"/>
    <w:rsid w:val="00184F7E"/>
    <w:rsid w:val="001854E4"/>
    <w:rsid w:val="00186001"/>
    <w:rsid w:val="00186DCD"/>
    <w:rsid w:val="00187324"/>
    <w:rsid w:val="001874E1"/>
    <w:rsid w:val="0018783A"/>
    <w:rsid w:val="00191AAE"/>
    <w:rsid w:val="00193945"/>
    <w:rsid w:val="001939E0"/>
    <w:rsid w:val="001947C3"/>
    <w:rsid w:val="001956A0"/>
    <w:rsid w:val="001A0394"/>
    <w:rsid w:val="001A0823"/>
    <w:rsid w:val="001A0A9B"/>
    <w:rsid w:val="001A2050"/>
    <w:rsid w:val="001A4306"/>
    <w:rsid w:val="001A4439"/>
    <w:rsid w:val="001A571D"/>
    <w:rsid w:val="001A7003"/>
    <w:rsid w:val="001A754D"/>
    <w:rsid w:val="001A7891"/>
    <w:rsid w:val="001A7A82"/>
    <w:rsid w:val="001B002D"/>
    <w:rsid w:val="001B06DA"/>
    <w:rsid w:val="001B07C5"/>
    <w:rsid w:val="001B119B"/>
    <w:rsid w:val="001B1CDC"/>
    <w:rsid w:val="001B2E47"/>
    <w:rsid w:val="001B2FD0"/>
    <w:rsid w:val="001B324B"/>
    <w:rsid w:val="001B36EA"/>
    <w:rsid w:val="001B3B4D"/>
    <w:rsid w:val="001B3BDA"/>
    <w:rsid w:val="001B47B7"/>
    <w:rsid w:val="001B4F06"/>
    <w:rsid w:val="001B51CA"/>
    <w:rsid w:val="001B5EBD"/>
    <w:rsid w:val="001B5F92"/>
    <w:rsid w:val="001B7435"/>
    <w:rsid w:val="001C1D64"/>
    <w:rsid w:val="001C2319"/>
    <w:rsid w:val="001C42A0"/>
    <w:rsid w:val="001C491D"/>
    <w:rsid w:val="001C50D6"/>
    <w:rsid w:val="001C5A7D"/>
    <w:rsid w:val="001C5C00"/>
    <w:rsid w:val="001C6713"/>
    <w:rsid w:val="001C6ED7"/>
    <w:rsid w:val="001C6FF5"/>
    <w:rsid w:val="001C7E07"/>
    <w:rsid w:val="001C7F0F"/>
    <w:rsid w:val="001D0417"/>
    <w:rsid w:val="001D342F"/>
    <w:rsid w:val="001D35B4"/>
    <w:rsid w:val="001D4AD1"/>
    <w:rsid w:val="001D4B1D"/>
    <w:rsid w:val="001D5001"/>
    <w:rsid w:val="001D5DDA"/>
    <w:rsid w:val="001D64E1"/>
    <w:rsid w:val="001D669A"/>
    <w:rsid w:val="001E1207"/>
    <w:rsid w:val="001E155E"/>
    <w:rsid w:val="001E327C"/>
    <w:rsid w:val="001E3ACC"/>
    <w:rsid w:val="001E3F82"/>
    <w:rsid w:val="001E41A2"/>
    <w:rsid w:val="001E4273"/>
    <w:rsid w:val="001E66CC"/>
    <w:rsid w:val="001E67FD"/>
    <w:rsid w:val="001E77DD"/>
    <w:rsid w:val="001E799B"/>
    <w:rsid w:val="001F0C5C"/>
    <w:rsid w:val="001F142B"/>
    <w:rsid w:val="001F17EB"/>
    <w:rsid w:val="001F1B94"/>
    <w:rsid w:val="001F2114"/>
    <w:rsid w:val="001F2642"/>
    <w:rsid w:val="001F2975"/>
    <w:rsid w:val="001F2CA4"/>
    <w:rsid w:val="001F3438"/>
    <w:rsid w:val="001F39AE"/>
    <w:rsid w:val="001F50A9"/>
    <w:rsid w:val="001F659A"/>
    <w:rsid w:val="001F65C3"/>
    <w:rsid w:val="001F6881"/>
    <w:rsid w:val="001F6BFB"/>
    <w:rsid w:val="001F6D01"/>
    <w:rsid w:val="001F6DA3"/>
    <w:rsid w:val="001F7321"/>
    <w:rsid w:val="00200769"/>
    <w:rsid w:val="002022F1"/>
    <w:rsid w:val="002025F6"/>
    <w:rsid w:val="00202D29"/>
    <w:rsid w:val="0020385A"/>
    <w:rsid w:val="00204D34"/>
    <w:rsid w:val="00204F4B"/>
    <w:rsid w:val="00205C42"/>
    <w:rsid w:val="00206C88"/>
    <w:rsid w:val="00206DB8"/>
    <w:rsid w:val="00207703"/>
    <w:rsid w:val="002077C3"/>
    <w:rsid w:val="00207FF5"/>
    <w:rsid w:val="00210845"/>
    <w:rsid w:val="00210C01"/>
    <w:rsid w:val="002110CB"/>
    <w:rsid w:val="00211B22"/>
    <w:rsid w:val="002125DC"/>
    <w:rsid w:val="00213FC0"/>
    <w:rsid w:val="0021428F"/>
    <w:rsid w:val="00215445"/>
    <w:rsid w:val="00215933"/>
    <w:rsid w:val="00216540"/>
    <w:rsid w:val="00216627"/>
    <w:rsid w:val="00217680"/>
    <w:rsid w:val="002210DC"/>
    <w:rsid w:val="00221310"/>
    <w:rsid w:val="00221696"/>
    <w:rsid w:val="00222BD5"/>
    <w:rsid w:val="002230F1"/>
    <w:rsid w:val="00223F72"/>
    <w:rsid w:val="0022416E"/>
    <w:rsid w:val="00224BAA"/>
    <w:rsid w:val="00224E41"/>
    <w:rsid w:val="00226541"/>
    <w:rsid w:val="002265E6"/>
    <w:rsid w:val="00226675"/>
    <w:rsid w:val="0022698B"/>
    <w:rsid w:val="00226999"/>
    <w:rsid w:val="00226CD9"/>
    <w:rsid w:val="002273AC"/>
    <w:rsid w:val="00227D63"/>
    <w:rsid w:val="00231D11"/>
    <w:rsid w:val="0023218A"/>
    <w:rsid w:val="002325C2"/>
    <w:rsid w:val="0023325F"/>
    <w:rsid w:val="002337FA"/>
    <w:rsid w:val="00233D05"/>
    <w:rsid w:val="00234015"/>
    <w:rsid w:val="00234A84"/>
    <w:rsid w:val="00234A92"/>
    <w:rsid w:val="00235BDE"/>
    <w:rsid w:val="002404E2"/>
    <w:rsid w:val="0024081E"/>
    <w:rsid w:val="00242778"/>
    <w:rsid w:val="00242BFD"/>
    <w:rsid w:val="002442D6"/>
    <w:rsid w:val="002448A7"/>
    <w:rsid w:val="0024638F"/>
    <w:rsid w:val="00247127"/>
    <w:rsid w:val="00247630"/>
    <w:rsid w:val="002503A2"/>
    <w:rsid w:val="002510C6"/>
    <w:rsid w:val="00251734"/>
    <w:rsid w:val="002525F1"/>
    <w:rsid w:val="00252C14"/>
    <w:rsid w:val="00253A1B"/>
    <w:rsid w:val="002552F8"/>
    <w:rsid w:val="00255CA5"/>
    <w:rsid w:val="002567EF"/>
    <w:rsid w:val="00256879"/>
    <w:rsid w:val="002602F2"/>
    <w:rsid w:val="00262427"/>
    <w:rsid w:val="0026281C"/>
    <w:rsid w:val="00262FF8"/>
    <w:rsid w:val="00263F72"/>
    <w:rsid w:val="002641F9"/>
    <w:rsid w:val="00264572"/>
    <w:rsid w:val="0026482B"/>
    <w:rsid w:val="00264F85"/>
    <w:rsid w:val="00265C83"/>
    <w:rsid w:val="00266DB7"/>
    <w:rsid w:val="00270053"/>
    <w:rsid w:val="00271664"/>
    <w:rsid w:val="00271CFF"/>
    <w:rsid w:val="00271DF6"/>
    <w:rsid w:val="00273FE7"/>
    <w:rsid w:val="00274B88"/>
    <w:rsid w:val="00274CB9"/>
    <w:rsid w:val="00276CA9"/>
    <w:rsid w:val="00276D34"/>
    <w:rsid w:val="00276E62"/>
    <w:rsid w:val="00277294"/>
    <w:rsid w:val="002779CA"/>
    <w:rsid w:val="00281C78"/>
    <w:rsid w:val="002827EC"/>
    <w:rsid w:val="00283345"/>
    <w:rsid w:val="00284090"/>
    <w:rsid w:val="0028413F"/>
    <w:rsid w:val="00284706"/>
    <w:rsid w:val="0028565A"/>
    <w:rsid w:val="00286F69"/>
    <w:rsid w:val="002871CB"/>
    <w:rsid w:val="0028736D"/>
    <w:rsid w:val="002875C3"/>
    <w:rsid w:val="00287846"/>
    <w:rsid w:val="0029097F"/>
    <w:rsid w:val="002909DD"/>
    <w:rsid w:val="00293C41"/>
    <w:rsid w:val="00293DED"/>
    <w:rsid w:val="002941C6"/>
    <w:rsid w:val="002946C5"/>
    <w:rsid w:val="00294795"/>
    <w:rsid w:val="00295791"/>
    <w:rsid w:val="00296290"/>
    <w:rsid w:val="00296BF6"/>
    <w:rsid w:val="00297854"/>
    <w:rsid w:val="002A01B9"/>
    <w:rsid w:val="002A0399"/>
    <w:rsid w:val="002A08F9"/>
    <w:rsid w:val="002A0FC4"/>
    <w:rsid w:val="002A1E4F"/>
    <w:rsid w:val="002A1FB0"/>
    <w:rsid w:val="002A2B10"/>
    <w:rsid w:val="002A2CF1"/>
    <w:rsid w:val="002A40EB"/>
    <w:rsid w:val="002A546B"/>
    <w:rsid w:val="002A56A8"/>
    <w:rsid w:val="002A671A"/>
    <w:rsid w:val="002A6ACB"/>
    <w:rsid w:val="002A77B2"/>
    <w:rsid w:val="002A7E19"/>
    <w:rsid w:val="002B03E3"/>
    <w:rsid w:val="002B06C7"/>
    <w:rsid w:val="002B0AD8"/>
    <w:rsid w:val="002B0BC9"/>
    <w:rsid w:val="002B0C06"/>
    <w:rsid w:val="002B1878"/>
    <w:rsid w:val="002B2910"/>
    <w:rsid w:val="002B37E2"/>
    <w:rsid w:val="002B3F30"/>
    <w:rsid w:val="002B4141"/>
    <w:rsid w:val="002B5ACF"/>
    <w:rsid w:val="002C06EB"/>
    <w:rsid w:val="002C0960"/>
    <w:rsid w:val="002C0C51"/>
    <w:rsid w:val="002C11EB"/>
    <w:rsid w:val="002C1264"/>
    <w:rsid w:val="002C3872"/>
    <w:rsid w:val="002C4021"/>
    <w:rsid w:val="002C4050"/>
    <w:rsid w:val="002C4056"/>
    <w:rsid w:val="002C40EF"/>
    <w:rsid w:val="002C4B19"/>
    <w:rsid w:val="002C5EA7"/>
    <w:rsid w:val="002C68E5"/>
    <w:rsid w:val="002C69BD"/>
    <w:rsid w:val="002C728B"/>
    <w:rsid w:val="002C74D8"/>
    <w:rsid w:val="002C7B64"/>
    <w:rsid w:val="002C7E17"/>
    <w:rsid w:val="002C7E6E"/>
    <w:rsid w:val="002D01D8"/>
    <w:rsid w:val="002D03EF"/>
    <w:rsid w:val="002D0A4E"/>
    <w:rsid w:val="002D20E8"/>
    <w:rsid w:val="002D2839"/>
    <w:rsid w:val="002D3FD0"/>
    <w:rsid w:val="002D57EE"/>
    <w:rsid w:val="002D599F"/>
    <w:rsid w:val="002D63E3"/>
    <w:rsid w:val="002D68F0"/>
    <w:rsid w:val="002E0D67"/>
    <w:rsid w:val="002E354C"/>
    <w:rsid w:val="002E3B90"/>
    <w:rsid w:val="002E42ED"/>
    <w:rsid w:val="002E53AA"/>
    <w:rsid w:val="002E55EE"/>
    <w:rsid w:val="002E6B7B"/>
    <w:rsid w:val="002E77DD"/>
    <w:rsid w:val="002F05DC"/>
    <w:rsid w:val="002F0CCD"/>
    <w:rsid w:val="002F1F10"/>
    <w:rsid w:val="002F3C3A"/>
    <w:rsid w:val="002F4075"/>
    <w:rsid w:val="002F43CB"/>
    <w:rsid w:val="002F455E"/>
    <w:rsid w:val="002F70D5"/>
    <w:rsid w:val="00302FE3"/>
    <w:rsid w:val="003039DE"/>
    <w:rsid w:val="00303FB7"/>
    <w:rsid w:val="0030491E"/>
    <w:rsid w:val="0030623B"/>
    <w:rsid w:val="003071ED"/>
    <w:rsid w:val="00307F46"/>
    <w:rsid w:val="003105B5"/>
    <w:rsid w:val="00311AA0"/>
    <w:rsid w:val="00312119"/>
    <w:rsid w:val="0031317A"/>
    <w:rsid w:val="0031429F"/>
    <w:rsid w:val="003152BD"/>
    <w:rsid w:val="003156C7"/>
    <w:rsid w:val="00315BE7"/>
    <w:rsid w:val="003171FA"/>
    <w:rsid w:val="00317477"/>
    <w:rsid w:val="00320D54"/>
    <w:rsid w:val="00322715"/>
    <w:rsid w:val="0032295A"/>
    <w:rsid w:val="00322DD0"/>
    <w:rsid w:val="003246A3"/>
    <w:rsid w:val="0032472F"/>
    <w:rsid w:val="00324751"/>
    <w:rsid w:val="00324B44"/>
    <w:rsid w:val="00324F17"/>
    <w:rsid w:val="00325511"/>
    <w:rsid w:val="00327AD3"/>
    <w:rsid w:val="003304F4"/>
    <w:rsid w:val="00330D68"/>
    <w:rsid w:val="00331C77"/>
    <w:rsid w:val="00331CD2"/>
    <w:rsid w:val="00332C98"/>
    <w:rsid w:val="00333009"/>
    <w:rsid w:val="00333C05"/>
    <w:rsid w:val="00334292"/>
    <w:rsid w:val="003351D7"/>
    <w:rsid w:val="00336355"/>
    <w:rsid w:val="003366DF"/>
    <w:rsid w:val="00336FC1"/>
    <w:rsid w:val="0034227A"/>
    <w:rsid w:val="0034242E"/>
    <w:rsid w:val="00342ACD"/>
    <w:rsid w:val="003431CB"/>
    <w:rsid w:val="003432A3"/>
    <w:rsid w:val="00343478"/>
    <w:rsid w:val="00343F60"/>
    <w:rsid w:val="0034465D"/>
    <w:rsid w:val="0034468E"/>
    <w:rsid w:val="00345451"/>
    <w:rsid w:val="00345521"/>
    <w:rsid w:val="00345937"/>
    <w:rsid w:val="00345ED2"/>
    <w:rsid w:val="003467F8"/>
    <w:rsid w:val="003506C2"/>
    <w:rsid w:val="00350CC7"/>
    <w:rsid w:val="00350EC2"/>
    <w:rsid w:val="00350EF2"/>
    <w:rsid w:val="00351801"/>
    <w:rsid w:val="00351BFD"/>
    <w:rsid w:val="00351D7A"/>
    <w:rsid w:val="00355075"/>
    <w:rsid w:val="00355672"/>
    <w:rsid w:val="003556FE"/>
    <w:rsid w:val="00355F8A"/>
    <w:rsid w:val="00356626"/>
    <w:rsid w:val="00356635"/>
    <w:rsid w:val="00357434"/>
    <w:rsid w:val="00360350"/>
    <w:rsid w:val="003603B1"/>
    <w:rsid w:val="00362926"/>
    <w:rsid w:val="00362B6A"/>
    <w:rsid w:val="003630C3"/>
    <w:rsid w:val="0036342B"/>
    <w:rsid w:val="00364F17"/>
    <w:rsid w:val="003662FF"/>
    <w:rsid w:val="00366AAD"/>
    <w:rsid w:val="00366C87"/>
    <w:rsid w:val="00366E68"/>
    <w:rsid w:val="00367B5B"/>
    <w:rsid w:val="00373079"/>
    <w:rsid w:val="003746C0"/>
    <w:rsid w:val="0037504E"/>
    <w:rsid w:val="00375FEE"/>
    <w:rsid w:val="003801B6"/>
    <w:rsid w:val="003808AC"/>
    <w:rsid w:val="003825D1"/>
    <w:rsid w:val="003828AE"/>
    <w:rsid w:val="0038298F"/>
    <w:rsid w:val="00383335"/>
    <w:rsid w:val="00383ABD"/>
    <w:rsid w:val="00384222"/>
    <w:rsid w:val="003860CE"/>
    <w:rsid w:val="003869C4"/>
    <w:rsid w:val="0038748E"/>
    <w:rsid w:val="00387595"/>
    <w:rsid w:val="003934FC"/>
    <w:rsid w:val="00393F00"/>
    <w:rsid w:val="0039423B"/>
    <w:rsid w:val="00394267"/>
    <w:rsid w:val="00394428"/>
    <w:rsid w:val="003945BD"/>
    <w:rsid w:val="003949EF"/>
    <w:rsid w:val="00394B56"/>
    <w:rsid w:val="00394C81"/>
    <w:rsid w:val="00394E6E"/>
    <w:rsid w:val="003951EB"/>
    <w:rsid w:val="0039579F"/>
    <w:rsid w:val="003964D0"/>
    <w:rsid w:val="00396E64"/>
    <w:rsid w:val="00396FCF"/>
    <w:rsid w:val="003A00C7"/>
    <w:rsid w:val="003A18F0"/>
    <w:rsid w:val="003A19ED"/>
    <w:rsid w:val="003A24EC"/>
    <w:rsid w:val="003A2636"/>
    <w:rsid w:val="003A2B57"/>
    <w:rsid w:val="003A2C82"/>
    <w:rsid w:val="003A4C7A"/>
    <w:rsid w:val="003A58CA"/>
    <w:rsid w:val="003A6EA7"/>
    <w:rsid w:val="003B03B3"/>
    <w:rsid w:val="003B0418"/>
    <w:rsid w:val="003B12FA"/>
    <w:rsid w:val="003B162C"/>
    <w:rsid w:val="003B17BA"/>
    <w:rsid w:val="003B19D8"/>
    <w:rsid w:val="003B34D2"/>
    <w:rsid w:val="003B4489"/>
    <w:rsid w:val="003B4AF5"/>
    <w:rsid w:val="003B59E0"/>
    <w:rsid w:val="003B69AD"/>
    <w:rsid w:val="003B6B4E"/>
    <w:rsid w:val="003B7D6D"/>
    <w:rsid w:val="003B7EBF"/>
    <w:rsid w:val="003C0EB5"/>
    <w:rsid w:val="003C13C5"/>
    <w:rsid w:val="003C1CF8"/>
    <w:rsid w:val="003C1ECB"/>
    <w:rsid w:val="003C21A0"/>
    <w:rsid w:val="003C2BDC"/>
    <w:rsid w:val="003C2F36"/>
    <w:rsid w:val="003C37F5"/>
    <w:rsid w:val="003C3AB0"/>
    <w:rsid w:val="003C4187"/>
    <w:rsid w:val="003C46BF"/>
    <w:rsid w:val="003C48E1"/>
    <w:rsid w:val="003C5C41"/>
    <w:rsid w:val="003C788F"/>
    <w:rsid w:val="003D13EF"/>
    <w:rsid w:val="003D195D"/>
    <w:rsid w:val="003D2C09"/>
    <w:rsid w:val="003D3FED"/>
    <w:rsid w:val="003D4416"/>
    <w:rsid w:val="003D4872"/>
    <w:rsid w:val="003D4C46"/>
    <w:rsid w:val="003D4EE9"/>
    <w:rsid w:val="003D5408"/>
    <w:rsid w:val="003D573F"/>
    <w:rsid w:val="003D5798"/>
    <w:rsid w:val="003D5987"/>
    <w:rsid w:val="003D7577"/>
    <w:rsid w:val="003D7C8E"/>
    <w:rsid w:val="003E03F0"/>
    <w:rsid w:val="003E17D9"/>
    <w:rsid w:val="003E2581"/>
    <w:rsid w:val="003E2BB9"/>
    <w:rsid w:val="003E2FC5"/>
    <w:rsid w:val="003E42D3"/>
    <w:rsid w:val="003E58E9"/>
    <w:rsid w:val="003E6490"/>
    <w:rsid w:val="003E6829"/>
    <w:rsid w:val="003E6DE5"/>
    <w:rsid w:val="003F03DA"/>
    <w:rsid w:val="003F1342"/>
    <w:rsid w:val="003F1C4F"/>
    <w:rsid w:val="003F2C88"/>
    <w:rsid w:val="003F4CB8"/>
    <w:rsid w:val="003F547E"/>
    <w:rsid w:val="003F5AFB"/>
    <w:rsid w:val="003F64BC"/>
    <w:rsid w:val="003F7DA1"/>
    <w:rsid w:val="004005DB"/>
    <w:rsid w:val="00400B4E"/>
    <w:rsid w:val="004024E0"/>
    <w:rsid w:val="0040387C"/>
    <w:rsid w:val="0040647D"/>
    <w:rsid w:val="004072AC"/>
    <w:rsid w:val="00407B4E"/>
    <w:rsid w:val="00411202"/>
    <w:rsid w:val="004112AF"/>
    <w:rsid w:val="00411AB4"/>
    <w:rsid w:val="00412E9E"/>
    <w:rsid w:val="00413B32"/>
    <w:rsid w:val="00413B4A"/>
    <w:rsid w:val="00413C97"/>
    <w:rsid w:val="00415A5A"/>
    <w:rsid w:val="00416644"/>
    <w:rsid w:val="00416C83"/>
    <w:rsid w:val="00417B16"/>
    <w:rsid w:val="00417BB7"/>
    <w:rsid w:val="0042020E"/>
    <w:rsid w:val="004211B7"/>
    <w:rsid w:val="00423428"/>
    <w:rsid w:val="00423500"/>
    <w:rsid w:val="00424843"/>
    <w:rsid w:val="00425AC4"/>
    <w:rsid w:val="00425BB5"/>
    <w:rsid w:val="0042749D"/>
    <w:rsid w:val="00431059"/>
    <w:rsid w:val="00432E02"/>
    <w:rsid w:val="00433ACA"/>
    <w:rsid w:val="00434978"/>
    <w:rsid w:val="00434AE7"/>
    <w:rsid w:val="00435A3F"/>
    <w:rsid w:val="00436871"/>
    <w:rsid w:val="00436886"/>
    <w:rsid w:val="00436C5D"/>
    <w:rsid w:val="00437638"/>
    <w:rsid w:val="00437C86"/>
    <w:rsid w:val="00437DA9"/>
    <w:rsid w:val="00442188"/>
    <w:rsid w:val="0044240F"/>
    <w:rsid w:val="00442B5A"/>
    <w:rsid w:val="00443091"/>
    <w:rsid w:val="00443685"/>
    <w:rsid w:val="004460DE"/>
    <w:rsid w:val="00446832"/>
    <w:rsid w:val="00446A1E"/>
    <w:rsid w:val="00446D5D"/>
    <w:rsid w:val="0045104E"/>
    <w:rsid w:val="004511BB"/>
    <w:rsid w:val="004518DE"/>
    <w:rsid w:val="00452341"/>
    <w:rsid w:val="00452A24"/>
    <w:rsid w:val="00452DE8"/>
    <w:rsid w:val="00453A30"/>
    <w:rsid w:val="00454A75"/>
    <w:rsid w:val="004551A3"/>
    <w:rsid w:val="0045520E"/>
    <w:rsid w:val="0045547F"/>
    <w:rsid w:val="004554DE"/>
    <w:rsid w:val="004557AF"/>
    <w:rsid w:val="00455FE4"/>
    <w:rsid w:val="00456AAD"/>
    <w:rsid w:val="00456E56"/>
    <w:rsid w:val="0045701D"/>
    <w:rsid w:val="004605E8"/>
    <w:rsid w:val="00461AA8"/>
    <w:rsid w:val="00462EE9"/>
    <w:rsid w:val="0046633A"/>
    <w:rsid w:val="00466B47"/>
    <w:rsid w:val="00467A28"/>
    <w:rsid w:val="00471121"/>
    <w:rsid w:val="004715BE"/>
    <w:rsid w:val="00471614"/>
    <w:rsid w:val="00471773"/>
    <w:rsid w:val="0047211A"/>
    <w:rsid w:val="004727A3"/>
    <w:rsid w:val="00472A2D"/>
    <w:rsid w:val="00472FBD"/>
    <w:rsid w:val="00473123"/>
    <w:rsid w:val="00473700"/>
    <w:rsid w:val="00474F85"/>
    <w:rsid w:val="00475023"/>
    <w:rsid w:val="00475945"/>
    <w:rsid w:val="00477AFA"/>
    <w:rsid w:val="00480C42"/>
    <w:rsid w:val="00482280"/>
    <w:rsid w:val="00482931"/>
    <w:rsid w:val="00482A38"/>
    <w:rsid w:val="00482DFA"/>
    <w:rsid w:val="00482FF0"/>
    <w:rsid w:val="004831DA"/>
    <w:rsid w:val="00483C94"/>
    <w:rsid w:val="004855F1"/>
    <w:rsid w:val="004856F3"/>
    <w:rsid w:val="0048590C"/>
    <w:rsid w:val="00485A6F"/>
    <w:rsid w:val="00486578"/>
    <w:rsid w:val="00486F78"/>
    <w:rsid w:val="00486F80"/>
    <w:rsid w:val="00490CED"/>
    <w:rsid w:val="00490D18"/>
    <w:rsid w:val="004916A8"/>
    <w:rsid w:val="004917EE"/>
    <w:rsid w:val="00492644"/>
    <w:rsid w:val="00494BAB"/>
    <w:rsid w:val="00494D45"/>
    <w:rsid w:val="004950FA"/>
    <w:rsid w:val="00495AA9"/>
    <w:rsid w:val="00495CA1"/>
    <w:rsid w:val="00496912"/>
    <w:rsid w:val="00497AB0"/>
    <w:rsid w:val="00497DF6"/>
    <w:rsid w:val="004A17D0"/>
    <w:rsid w:val="004A1FDD"/>
    <w:rsid w:val="004A21A0"/>
    <w:rsid w:val="004A243B"/>
    <w:rsid w:val="004A29C6"/>
    <w:rsid w:val="004A3A5D"/>
    <w:rsid w:val="004A4C60"/>
    <w:rsid w:val="004A4F77"/>
    <w:rsid w:val="004A5E7F"/>
    <w:rsid w:val="004A6385"/>
    <w:rsid w:val="004A63BA"/>
    <w:rsid w:val="004B0924"/>
    <w:rsid w:val="004B12DF"/>
    <w:rsid w:val="004B246A"/>
    <w:rsid w:val="004B2974"/>
    <w:rsid w:val="004B2A0D"/>
    <w:rsid w:val="004B2A96"/>
    <w:rsid w:val="004B31A7"/>
    <w:rsid w:val="004B39B7"/>
    <w:rsid w:val="004B3AC7"/>
    <w:rsid w:val="004B3DD3"/>
    <w:rsid w:val="004B604D"/>
    <w:rsid w:val="004B60A4"/>
    <w:rsid w:val="004B627C"/>
    <w:rsid w:val="004B6325"/>
    <w:rsid w:val="004B6CB4"/>
    <w:rsid w:val="004B71DC"/>
    <w:rsid w:val="004B7420"/>
    <w:rsid w:val="004B770F"/>
    <w:rsid w:val="004B7936"/>
    <w:rsid w:val="004B7CA2"/>
    <w:rsid w:val="004C0253"/>
    <w:rsid w:val="004C21FB"/>
    <w:rsid w:val="004C2EF0"/>
    <w:rsid w:val="004C3681"/>
    <w:rsid w:val="004C4E8F"/>
    <w:rsid w:val="004C6458"/>
    <w:rsid w:val="004C648A"/>
    <w:rsid w:val="004C6D30"/>
    <w:rsid w:val="004C7D27"/>
    <w:rsid w:val="004D0B65"/>
    <w:rsid w:val="004D11B7"/>
    <w:rsid w:val="004D1F8F"/>
    <w:rsid w:val="004D2E1A"/>
    <w:rsid w:val="004D363E"/>
    <w:rsid w:val="004D4BAB"/>
    <w:rsid w:val="004D5328"/>
    <w:rsid w:val="004D6620"/>
    <w:rsid w:val="004D6D81"/>
    <w:rsid w:val="004D73F0"/>
    <w:rsid w:val="004D7484"/>
    <w:rsid w:val="004D7E20"/>
    <w:rsid w:val="004E07B0"/>
    <w:rsid w:val="004E0EE2"/>
    <w:rsid w:val="004E1889"/>
    <w:rsid w:val="004E1D85"/>
    <w:rsid w:val="004E2530"/>
    <w:rsid w:val="004E331E"/>
    <w:rsid w:val="004E3B8F"/>
    <w:rsid w:val="004E407E"/>
    <w:rsid w:val="004E4100"/>
    <w:rsid w:val="004E43AA"/>
    <w:rsid w:val="004E5144"/>
    <w:rsid w:val="004E66CC"/>
    <w:rsid w:val="004E694F"/>
    <w:rsid w:val="004E7B95"/>
    <w:rsid w:val="004E7E5D"/>
    <w:rsid w:val="004F080C"/>
    <w:rsid w:val="004F0B73"/>
    <w:rsid w:val="004F191D"/>
    <w:rsid w:val="004F1A17"/>
    <w:rsid w:val="004F26DD"/>
    <w:rsid w:val="004F3480"/>
    <w:rsid w:val="004F397F"/>
    <w:rsid w:val="004F399D"/>
    <w:rsid w:val="004F4005"/>
    <w:rsid w:val="004F4473"/>
    <w:rsid w:val="004F487F"/>
    <w:rsid w:val="004F5434"/>
    <w:rsid w:val="004F7162"/>
    <w:rsid w:val="005012E4"/>
    <w:rsid w:val="0050186F"/>
    <w:rsid w:val="00501D37"/>
    <w:rsid w:val="00503A09"/>
    <w:rsid w:val="00503E1D"/>
    <w:rsid w:val="00503F34"/>
    <w:rsid w:val="00504583"/>
    <w:rsid w:val="00505506"/>
    <w:rsid w:val="00506CF4"/>
    <w:rsid w:val="00507193"/>
    <w:rsid w:val="005111F0"/>
    <w:rsid w:val="00511516"/>
    <w:rsid w:val="00511ABB"/>
    <w:rsid w:val="005129E3"/>
    <w:rsid w:val="00513FB4"/>
    <w:rsid w:val="00514057"/>
    <w:rsid w:val="005141CA"/>
    <w:rsid w:val="005144C4"/>
    <w:rsid w:val="005159E7"/>
    <w:rsid w:val="00516809"/>
    <w:rsid w:val="00517521"/>
    <w:rsid w:val="00517DD3"/>
    <w:rsid w:val="00521318"/>
    <w:rsid w:val="00521EB7"/>
    <w:rsid w:val="00521FAE"/>
    <w:rsid w:val="00522C80"/>
    <w:rsid w:val="00523EC8"/>
    <w:rsid w:val="00524602"/>
    <w:rsid w:val="00524EAC"/>
    <w:rsid w:val="00526C2F"/>
    <w:rsid w:val="0052773B"/>
    <w:rsid w:val="00530C39"/>
    <w:rsid w:val="005313FC"/>
    <w:rsid w:val="005317A1"/>
    <w:rsid w:val="005325E9"/>
    <w:rsid w:val="005331CC"/>
    <w:rsid w:val="00533EE8"/>
    <w:rsid w:val="005345E9"/>
    <w:rsid w:val="005358E3"/>
    <w:rsid w:val="00536144"/>
    <w:rsid w:val="00536A42"/>
    <w:rsid w:val="0054007E"/>
    <w:rsid w:val="00541F07"/>
    <w:rsid w:val="00542150"/>
    <w:rsid w:val="00542945"/>
    <w:rsid w:val="00542C2C"/>
    <w:rsid w:val="005434F1"/>
    <w:rsid w:val="005436CC"/>
    <w:rsid w:val="0054455A"/>
    <w:rsid w:val="00544650"/>
    <w:rsid w:val="0054554A"/>
    <w:rsid w:val="00545F3A"/>
    <w:rsid w:val="00546D99"/>
    <w:rsid w:val="00547DB9"/>
    <w:rsid w:val="00551F24"/>
    <w:rsid w:val="005521FC"/>
    <w:rsid w:val="005533C4"/>
    <w:rsid w:val="005539C2"/>
    <w:rsid w:val="00553FFB"/>
    <w:rsid w:val="005552BB"/>
    <w:rsid w:val="0055673A"/>
    <w:rsid w:val="00556B27"/>
    <w:rsid w:val="005572EF"/>
    <w:rsid w:val="00557CF0"/>
    <w:rsid w:val="00560C63"/>
    <w:rsid w:val="005618AD"/>
    <w:rsid w:val="0056190D"/>
    <w:rsid w:val="00561AA8"/>
    <w:rsid w:val="00561FE0"/>
    <w:rsid w:val="0056290D"/>
    <w:rsid w:val="00563EEB"/>
    <w:rsid w:val="005641C5"/>
    <w:rsid w:val="0056430B"/>
    <w:rsid w:val="00565458"/>
    <w:rsid w:val="005667D4"/>
    <w:rsid w:val="00566DAF"/>
    <w:rsid w:val="0056710D"/>
    <w:rsid w:val="005715A8"/>
    <w:rsid w:val="00571606"/>
    <w:rsid w:val="0057323F"/>
    <w:rsid w:val="0057595A"/>
    <w:rsid w:val="00575BC1"/>
    <w:rsid w:val="00575C0B"/>
    <w:rsid w:val="00576266"/>
    <w:rsid w:val="00576396"/>
    <w:rsid w:val="005774D9"/>
    <w:rsid w:val="005806DE"/>
    <w:rsid w:val="005814AC"/>
    <w:rsid w:val="00581C7C"/>
    <w:rsid w:val="00582405"/>
    <w:rsid w:val="00583408"/>
    <w:rsid w:val="0058405E"/>
    <w:rsid w:val="00585B5F"/>
    <w:rsid w:val="00586E50"/>
    <w:rsid w:val="00587110"/>
    <w:rsid w:val="00591354"/>
    <w:rsid w:val="005917BC"/>
    <w:rsid w:val="0059187B"/>
    <w:rsid w:val="00591996"/>
    <w:rsid w:val="00593522"/>
    <w:rsid w:val="00593682"/>
    <w:rsid w:val="00593A0E"/>
    <w:rsid w:val="0059610B"/>
    <w:rsid w:val="00596941"/>
    <w:rsid w:val="0059721F"/>
    <w:rsid w:val="00597692"/>
    <w:rsid w:val="005979A4"/>
    <w:rsid w:val="00597FDB"/>
    <w:rsid w:val="005A0992"/>
    <w:rsid w:val="005A0A4C"/>
    <w:rsid w:val="005A0E46"/>
    <w:rsid w:val="005A15F4"/>
    <w:rsid w:val="005A2603"/>
    <w:rsid w:val="005A2DBC"/>
    <w:rsid w:val="005A32AC"/>
    <w:rsid w:val="005A53C4"/>
    <w:rsid w:val="005A548E"/>
    <w:rsid w:val="005A5D70"/>
    <w:rsid w:val="005A6A44"/>
    <w:rsid w:val="005A7B5E"/>
    <w:rsid w:val="005B2C6C"/>
    <w:rsid w:val="005B413A"/>
    <w:rsid w:val="005B48F5"/>
    <w:rsid w:val="005B4CB6"/>
    <w:rsid w:val="005B502D"/>
    <w:rsid w:val="005B53F9"/>
    <w:rsid w:val="005B5C63"/>
    <w:rsid w:val="005B6757"/>
    <w:rsid w:val="005B706A"/>
    <w:rsid w:val="005B75E0"/>
    <w:rsid w:val="005B7D1E"/>
    <w:rsid w:val="005B7D65"/>
    <w:rsid w:val="005C0576"/>
    <w:rsid w:val="005C1EDE"/>
    <w:rsid w:val="005C3457"/>
    <w:rsid w:val="005C4946"/>
    <w:rsid w:val="005C49B6"/>
    <w:rsid w:val="005C52C3"/>
    <w:rsid w:val="005C647B"/>
    <w:rsid w:val="005C657D"/>
    <w:rsid w:val="005C6956"/>
    <w:rsid w:val="005D0636"/>
    <w:rsid w:val="005D0B6E"/>
    <w:rsid w:val="005D139C"/>
    <w:rsid w:val="005D5F68"/>
    <w:rsid w:val="005D60E6"/>
    <w:rsid w:val="005D6F5D"/>
    <w:rsid w:val="005D7878"/>
    <w:rsid w:val="005E02DD"/>
    <w:rsid w:val="005E02F1"/>
    <w:rsid w:val="005E0A0B"/>
    <w:rsid w:val="005E17BA"/>
    <w:rsid w:val="005E2178"/>
    <w:rsid w:val="005E2857"/>
    <w:rsid w:val="005E2996"/>
    <w:rsid w:val="005E305B"/>
    <w:rsid w:val="005E30E3"/>
    <w:rsid w:val="005E3B87"/>
    <w:rsid w:val="005E46A8"/>
    <w:rsid w:val="005E53A6"/>
    <w:rsid w:val="005E64AE"/>
    <w:rsid w:val="005E6E8E"/>
    <w:rsid w:val="005E7020"/>
    <w:rsid w:val="005F1AE3"/>
    <w:rsid w:val="005F1C64"/>
    <w:rsid w:val="005F1E90"/>
    <w:rsid w:val="005F2225"/>
    <w:rsid w:val="005F2C05"/>
    <w:rsid w:val="005F37C2"/>
    <w:rsid w:val="005F46A9"/>
    <w:rsid w:val="005F4970"/>
    <w:rsid w:val="005F4BD3"/>
    <w:rsid w:val="005F5540"/>
    <w:rsid w:val="005F6C08"/>
    <w:rsid w:val="005F71AE"/>
    <w:rsid w:val="00600B74"/>
    <w:rsid w:val="00602EDA"/>
    <w:rsid w:val="00603908"/>
    <w:rsid w:val="0060453C"/>
    <w:rsid w:val="00604F7A"/>
    <w:rsid w:val="00604FB6"/>
    <w:rsid w:val="00605460"/>
    <w:rsid w:val="00606417"/>
    <w:rsid w:val="00610847"/>
    <w:rsid w:val="00611102"/>
    <w:rsid w:val="00611FBF"/>
    <w:rsid w:val="00612E87"/>
    <w:rsid w:val="006132E7"/>
    <w:rsid w:val="00614087"/>
    <w:rsid w:val="00614D82"/>
    <w:rsid w:val="00614F5E"/>
    <w:rsid w:val="00615727"/>
    <w:rsid w:val="0061648D"/>
    <w:rsid w:val="00617F56"/>
    <w:rsid w:val="006219B5"/>
    <w:rsid w:val="00622C60"/>
    <w:rsid w:val="006230B3"/>
    <w:rsid w:val="006236B8"/>
    <w:rsid w:val="00623944"/>
    <w:rsid w:val="00623ACD"/>
    <w:rsid w:val="00623BDA"/>
    <w:rsid w:val="006241A9"/>
    <w:rsid w:val="006246B4"/>
    <w:rsid w:val="00624A12"/>
    <w:rsid w:val="00624A18"/>
    <w:rsid w:val="00624E67"/>
    <w:rsid w:val="00624EB0"/>
    <w:rsid w:val="00625829"/>
    <w:rsid w:val="00625F7D"/>
    <w:rsid w:val="00626223"/>
    <w:rsid w:val="006265CF"/>
    <w:rsid w:val="006267A0"/>
    <w:rsid w:val="00627E8F"/>
    <w:rsid w:val="00630E26"/>
    <w:rsid w:val="006317BC"/>
    <w:rsid w:val="00632366"/>
    <w:rsid w:val="006328C1"/>
    <w:rsid w:val="006331D2"/>
    <w:rsid w:val="006332A7"/>
    <w:rsid w:val="006333ED"/>
    <w:rsid w:val="0063433B"/>
    <w:rsid w:val="0063437D"/>
    <w:rsid w:val="0063476F"/>
    <w:rsid w:val="00636085"/>
    <w:rsid w:val="00640542"/>
    <w:rsid w:val="00641BBD"/>
    <w:rsid w:val="00641CD2"/>
    <w:rsid w:val="0064287D"/>
    <w:rsid w:val="00642975"/>
    <w:rsid w:val="00642C4A"/>
    <w:rsid w:val="0064494F"/>
    <w:rsid w:val="00644C83"/>
    <w:rsid w:val="0064507B"/>
    <w:rsid w:val="00645418"/>
    <w:rsid w:val="006461A1"/>
    <w:rsid w:val="00646B1E"/>
    <w:rsid w:val="006476FD"/>
    <w:rsid w:val="0064775F"/>
    <w:rsid w:val="006504ED"/>
    <w:rsid w:val="00650521"/>
    <w:rsid w:val="0065086C"/>
    <w:rsid w:val="00650C3B"/>
    <w:rsid w:val="00651014"/>
    <w:rsid w:val="006511F2"/>
    <w:rsid w:val="00654B40"/>
    <w:rsid w:val="00656201"/>
    <w:rsid w:val="006563E9"/>
    <w:rsid w:val="0066073C"/>
    <w:rsid w:val="00660BC5"/>
    <w:rsid w:val="00660DA9"/>
    <w:rsid w:val="00661146"/>
    <w:rsid w:val="0066149B"/>
    <w:rsid w:val="00661B80"/>
    <w:rsid w:val="00663348"/>
    <w:rsid w:val="006639B2"/>
    <w:rsid w:val="00663E01"/>
    <w:rsid w:val="0066482A"/>
    <w:rsid w:val="00666215"/>
    <w:rsid w:val="00670E0F"/>
    <w:rsid w:val="00671259"/>
    <w:rsid w:val="006714C1"/>
    <w:rsid w:val="0067373A"/>
    <w:rsid w:val="006738A1"/>
    <w:rsid w:val="00674982"/>
    <w:rsid w:val="0067517A"/>
    <w:rsid w:val="0067633A"/>
    <w:rsid w:val="0067687D"/>
    <w:rsid w:val="00680636"/>
    <w:rsid w:val="006814EE"/>
    <w:rsid w:val="0068155C"/>
    <w:rsid w:val="00681C2F"/>
    <w:rsid w:val="006826B7"/>
    <w:rsid w:val="006829B5"/>
    <w:rsid w:val="00682CF6"/>
    <w:rsid w:val="006835E3"/>
    <w:rsid w:val="00684682"/>
    <w:rsid w:val="00684D49"/>
    <w:rsid w:val="00686238"/>
    <w:rsid w:val="00686C7D"/>
    <w:rsid w:val="0068774E"/>
    <w:rsid w:val="0069021E"/>
    <w:rsid w:val="00690A00"/>
    <w:rsid w:val="00692412"/>
    <w:rsid w:val="006926EE"/>
    <w:rsid w:val="00692F80"/>
    <w:rsid w:val="00693F18"/>
    <w:rsid w:val="0069426D"/>
    <w:rsid w:val="00695CF9"/>
    <w:rsid w:val="00696BBE"/>
    <w:rsid w:val="0069791F"/>
    <w:rsid w:val="00697A87"/>
    <w:rsid w:val="00697F12"/>
    <w:rsid w:val="006A0DC6"/>
    <w:rsid w:val="006A2FCE"/>
    <w:rsid w:val="006A374F"/>
    <w:rsid w:val="006A3C0E"/>
    <w:rsid w:val="006A46AA"/>
    <w:rsid w:val="006A492B"/>
    <w:rsid w:val="006A73D4"/>
    <w:rsid w:val="006B092E"/>
    <w:rsid w:val="006B0C01"/>
    <w:rsid w:val="006B130C"/>
    <w:rsid w:val="006B17E9"/>
    <w:rsid w:val="006B21E8"/>
    <w:rsid w:val="006B43DB"/>
    <w:rsid w:val="006B4BC1"/>
    <w:rsid w:val="006B58FD"/>
    <w:rsid w:val="006B6049"/>
    <w:rsid w:val="006B6406"/>
    <w:rsid w:val="006B6FE4"/>
    <w:rsid w:val="006B7EC8"/>
    <w:rsid w:val="006C101C"/>
    <w:rsid w:val="006C3D4F"/>
    <w:rsid w:val="006C48BF"/>
    <w:rsid w:val="006C5198"/>
    <w:rsid w:val="006C5BE7"/>
    <w:rsid w:val="006C616C"/>
    <w:rsid w:val="006C6432"/>
    <w:rsid w:val="006C695E"/>
    <w:rsid w:val="006C6B7D"/>
    <w:rsid w:val="006C6FAB"/>
    <w:rsid w:val="006C7138"/>
    <w:rsid w:val="006C79AF"/>
    <w:rsid w:val="006D0586"/>
    <w:rsid w:val="006D0876"/>
    <w:rsid w:val="006D0EBF"/>
    <w:rsid w:val="006D1C84"/>
    <w:rsid w:val="006D1CDC"/>
    <w:rsid w:val="006D2FF6"/>
    <w:rsid w:val="006D5DD4"/>
    <w:rsid w:val="006D5ED8"/>
    <w:rsid w:val="006D5FE0"/>
    <w:rsid w:val="006D62BF"/>
    <w:rsid w:val="006D71DE"/>
    <w:rsid w:val="006D788E"/>
    <w:rsid w:val="006D79F2"/>
    <w:rsid w:val="006E2486"/>
    <w:rsid w:val="006E2C25"/>
    <w:rsid w:val="006E2E9F"/>
    <w:rsid w:val="006E2FE8"/>
    <w:rsid w:val="006E518D"/>
    <w:rsid w:val="006E6B61"/>
    <w:rsid w:val="006E71DD"/>
    <w:rsid w:val="006E728B"/>
    <w:rsid w:val="006E7C48"/>
    <w:rsid w:val="006F0023"/>
    <w:rsid w:val="006F0177"/>
    <w:rsid w:val="006F0857"/>
    <w:rsid w:val="006F0B87"/>
    <w:rsid w:val="006F0C23"/>
    <w:rsid w:val="006F0F7B"/>
    <w:rsid w:val="006F1930"/>
    <w:rsid w:val="006F1B97"/>
    <w:rsid w:val="006F27CD"/>
    <w:rsid w:val="006F2B8A"/>
    <w:rsid w:val="006F2E1E"/>
    <w:rsid w:val="006F2F07"/>
    <w:rsid w:val="006F3E6C"/>
    <w:rsid w:val="006F5943"/>
    <w:rsid w:val="006F7476"/>
    <w:rsid w:val="006F7519"/>
    <w:rsid w:val="00701355"/>
    <w:rsid w:val="00701F3A"/>
    <w:rsid w:val="0070566F"/>
    <w:rsid w:val="007060A5"/>
    <w:rsid w:val="00706C43"/>
    <w:rsid w:val="00706E97"/>
    <w:rsid w:val="007072AB"/>
    <w:rsid w:val="00710B4D"/>
    <w:rsid w:val="0071170A"/>
    <w:rsid w:val="00711FEC"/>
    <w:rsid w:val="00712C89"/>
    <w:rsid w:val="007135B9"/>
    <w:rsid w:val="007144E9"/>
    <w:rsid w:val="00714DBB"/>
    <w:rsid w:val="00714EF4"/>
    <w:rsid w:val="00715AC9"/>
    <w:rsid w:val="00716026"/>
    <w:rsid w:val="0071627E"/>
    <w:rsid w:val="007164E6"/>
    <w:rsid w:val="00717279"/>
    <w:rsid w:val="00717864"/>
    <w:rsid w:val="00717A6E"/>
    <w:rsid w:val="00720013"/>
    <w:rsid w:val="007204AA"/>
    <w:rsid w:val="00720BF1"/>
    <w:rsid w:val="0072114F"/>
    <w:rsid w:val="00721F71"/>
    <w:rsid w:val="007223E1"/>
    <w:rsid w:val="0072241F"/>
    <w:rsid w:val="007228F2"/>
    <w:rsid w:val="007237C3"/>
    <w:rsid w:val="007239F0"/>
    <w:rsid w:val="007240BB"/>
    <w:rsid w:val="00724E2B"/>
    <w:rsid w:val="00730512"/>
    <w:rsid w:val="0073078D"/>
    <w:rsid w:val="00730F44"/>
    <w:rsid w:val="00735FD2"/>
    <w:rsid w:val="00736593"/>
    <w:rsid w:val="007366C2"/>
    <w:rsid w:val="00736C65"/>
    <w:rsid w:val="007375C3"/>
    <w:rsid w:val="00737C60"/>
    <w:rsid w:val="007438EF"/>
    <w:rsid w:val="00744E66"/>
    <w:rsid w:val="00745F81"/>
    <w:rsid w:val="00746596"/>
    <w:rsid w:val="00747895"/>
    <w:rsid w:val="00747D9C"/>
    <w:rsid w:val="00750766"/>
    <w:rsid w:val="0075080D"/>
    <w:rsid w:val="00751BEA"/>
    <w:rsid w:val="00752073"/>
    <w:rsid w:val="007527C1"/>
    <w:rsid w:val="00752E04"/>
    <w:rsid w:val="00755966"/>
    <w:rsid w:val="00755B98"/>
    <w:rsid w:val="0075665C"/>
    <w:rsid w:val="00756C43"/>
    <w:rsid w:val="007601CC"/>
    <w:rsid w:val="00760E8A"/>
    <w:rsid w:val="0076116F"/>
    <w:rsid w:val="0076182D"/>
    <w:rsid w:val="00761D02"/>
    <w:rsid w:val="00764B43"/>
    <w:rsid w:val="00765399"/>
    <w:rsid w:val="00765833"/>
    <w:rsid w:val="007666A0"/>
    <w:rsid w:val="00770F52"/>
    <w:rsid w:val="00770F72"/>
    <w:rsid w:val="00772308"/>
    <w:rsid w:val="00772DE3"/>
    <w:rsid w:val="0077311A"/>
    <w:rsid w:val="007733C8"/>
    <w:rsid w:val="00773F4E"/>
    <w:rsid w:val="00774941"/>
    <w:rsid w:val="00775F7A"/>
    <w:rsid w:val="00776076"/>
    <w:rsid w:val="007760F6"/>
    <w:rsid w:val="00776E85"/>
    <w:rsid w:val="00776FC9"/>
    <w:rsid w:val="00780BDD"/>
    <w:rsid w:val="007833D5"/>
    <w:rsid w:val="007869D5"/>
    <w:rsid w:val="0078735C"/>
    <w:rsid w:val="007879CD"/>
    <w:rsid w:val="0079032A"/>
    <w:rsid w:val="0079129E"/>
    <w:rsid w:val="007913F1"/>
    <w:rsid w:val="0079162D"/>
    <w:rsid w:val="00792D1C"/>
    <w:rsid w:val="00794DE0"/>
    <w:rsid w:val="00797E38"/>
    <w:rsid w:val="007A169F"/>
    <w:rsid w:val="007A20ED"/>
    <w:rsid w:val="007A2A8A"/>
    <w:rsid w:val="007A2A98"/>
    <w:rsid w:val="007A3311"/>
    <w:rsid w:val="007A3D27"/>
    <w:rsid w:val="007A3D66"/>
    <w:rsid w:val="007A3E5E"/>
    <w:rsid w:val="007A44E6"/>
    <w:rsid w:val="007A481B"/>
    <w:rsid w:val="007A5FCC"/>
    <w:rsid w:val="007A6AD2"/>
    <w:rsid w:val="007B0CBB"/>
    <w:rsid w:val="007B16D0"/>
    <w:rsid w:val="007B19F2"/>
    <w:rsid w:val="007B231A"/>
    <w:rsid w:val="007B3A44"/>
    <w:rsid w:val="007B46C4"/>
    <w:rsid w:val="007B4806"/>
    <w:rsid w:val="007B4F73"/>
    <w:rsid w:val="007B5E7C"/>
    <w:rsid w:val="007B64E0"/>
    <w:rsid w:val="007B6B7E"/>
    <w:rsid w:val="007B7AA3"/>
    <w:rsid w:val="007B7D35"/>
    <w:rsid w:val="007C0082"/>
    <w:rsid w:val="007C0A52"/>
    <w:rsid w:val="007C1E38"/>
    <w:rsid w:val="007C260F"/>
    <w:rsid w:val="007C3187"/>
    <w:rsid w:val="007C35A1"/>
    <w:rsid w:val="007C3685"/>
    <w:rsid w:val="007C38BE"/>
    <w:rsid w:val="007C3D7D"/>
    <w:rsid w:val="007C75B9"/>
    <w:rsid w:val="007C7B62"/>
    <w:rsid w:val="007D178F"/>
    <w:rsid w:val="007D237C"/>
    <w:rsid w:val="007D2D66"/>
    <w:rsid w:val="007D3B35"/>
    <w:rsid w:val="007D40C3"/>
    <w:rsid w:val="007D43F8"/>
    <w:rsid w:val="007D4DC5"/>
    <w:rsid w:val="007D65C5"/>
    <w:rsid w:val="007D6E99"/>
    <w:rsid w:val="007D784A"/>
    <w:rsid w:val="007D7E92"/>
    <w:rsid w:val="007E0A36"/>
    <w:rsid w:val="007E22EA"/>
    <w:rsid w:val="007E26EA"/>
    <w:rsid w:val="007E2918"/>
    <w:rsid w:val="007E2A93"/>
    <w:rsid w:val="007E3BF7"/>
    <w:rsid w:val="007E5138"/>
    <w:rsid w:val="007E5EF6"/>
    <w:rsid w:val="007E6C38"/>
    <w:rsid w:val="007E71D8"/>
    <w:rsid w:val="007E76B8"/>
    <w:rsid w:val="007E7C49"/>
    <w:rsid w:val="007F050E"/>
    <w:rsid w:val="007F26BD"/>
    <w:rsid w:val="007F3662"/>
    <w:rsid w:val="007F3BB9"/>
    <w:rsid w:val="007F4783"/>
    <w:rsid w:val="007F497D"/>
    <w:rsid w:val="007F5663"/>
    <w:rsid w:val="007F646F"/>
    <w:rsid w:val="007F7A53"/>
    <w:rsid w:val="007F7DC8"/>
    <w:rsid w:val="00800D5F"/>
    <w:rsid w:val="00801267"/>
    <w:rsid w:val="00802383"/>
    <w:rsid w:val="008024CA"/>
    <w:rsid w:val="008025A6"/>
    <w:rsid w:val="00802B3A"/>
    <w:rsid w:val="008031BC"/>
    <w:rsid w:val="008039D4"/>
    <w:rsid w:val="008044EE"/>
    <w:rsid w:val="00804C01"/>
    <w:rsid w:val="00804CF9"/>
    <w:rsid w:val="008050D0"/>
    <w:rsid w:val="008057D6"/>
    <w:rsid w:val="00805C7A"/>
    <w:rsid w:val="00805D6E"/>
    <w:rsid w:val="008077A6"/>
    <w:rsid w:val="00807C4B"/>
    <w:rsid w:val="00810135"/>
    <w:rsid w:val="00810796"/>
    <w:rsid w:val="00810F46"/>
    <w:rsid w:val="008118F2"/>
    <w:rsid w:val="008127AE"/>
    <w:rsid w:val="008133B7"/>
    <w:rsid w:val="00813645"/>
    <w:rsid w:val="00814446"/>
    <w:rsid w:val="00816232"/>
    <w:rsid w:val="00816525"/>
    <w:rsid w:val="008167B2"/>
    <w:rsid w:val="0081759C"/>
    <w:rsid w:val="0081776E"/>
    <w:rsid w:val="00817C69"/>
    <w:rsid w:val="00820392"/>
    <w:rsid w:val="008204DC"/>
    <w:rsid w:val="00820BE9"/>
    <w:rsid w:val="00822528"/>
    <w:rsid w:val="00822796"/>
    <w:rsid w:val="00822B2B"/>
    <w:rsid w:val="00824113"/>
    <w:rsid w:val="00824933"/>
    <w:rsid w:val="00825778"/>
    <w:rsid w:val="00825813"/>
    <w:rsid w:val="00826390"/>
    <w:rsid w:val="00826F99"/>
    <w:rsid w:val="00831DEA"/>
    <w:rsid w:val="00831E22"/>
    <w:rsid w:val="00832419"/>
    <w:rsid w:val="008326D2"/>
    <w:rsid w:val="00832891"/>
    <w:rsid w:val="0083381F"/>
    <w:rsid w:val="00833F9D"/>
    <w:rsid w:val="00834379"/>
    <w:rsid w:val="00834766"/>
    <w:rsid w:val="00835D12"/>
    <w:rsid w:val="008402A6"/>
    <w:rsid w:val="00840F52"/>
    <w:rsid w:val="00841583"/>
    <w:rsid w:val="00843018"/>
    <w:rsid w:val="008435B5"/>
    <w:rsid w:val="0084425E"/>
    <w:rsid w:val="00844689"/>
    <w:rsid w:val="00845231"/>
    <w:rsid w:val="008458A5"/>
    <w:rsid w:val="00845AA2"/>
    <w:rsid w:val="008465EE"/>
    <w:rsid w:val="0084777F"/>
    <w:rsid w:val="00847A92"/>
    <w:rsid w:val="008500ED"/>
    <w:rsid w:val="00850A9E"/>
    <w:rsid w:val="00851180"/>
    <w:rsid w:val="00852974"/>
    <w:rsid w:val="00853252"/>
    <w:rsid w:val="0085398B"/>
    <w:rsid w:val="0085462C"/>
    <w:rsid w:val="00854F1D"/>
    <w:rsid w:val="00855149"/>
    <w:rsid w:val="00856373"/>
    <w:rsid w:val="00856914"/>
    <w:rsid w:val="00860588"/>
    <w:rsid w:val="0086064D"/>
    <w:rsid w:val="00861EE0"/>
    <w:rsid w:val="008620D8"/>
    <w:rsid w:val="0086239A"/>
    <w:rsid w:val="008623A9"/>
    <w:rsid w:val="0086270A"/>
    <w:rsid w:val="00863CAF"/>
    <w:rsid w:val="00864083"/>
    <w:rsid w:val="008647E4"/>
    <w:rsid w:val="00864C2E"/>
    <w:rsid w:val="00865C56"/>
    <w:rsid w:val="00865E76"/>
    <w:rsid w:val="0087067A"/>
    <w:rsid w:val="00871367"/>
    <w:rsid w:val="008716EF"/>
    <w:rsid w:val="00871A8E"/>
    <w:rsid w:val="0087216B"/>
    <w:rsid w:val="008725D8"/>
    <w:rsid w:val="00872E26"/>
    <w:rsid w:val="00872FCC"/>
    <w:rsid w:val="00874A5A"/>
    <w:rsid w:val="00875439"/>
    <w:rsid w:val="00875895"/>
    <w:rsid w:val="00877063"/>
    <w:rsid w:val="00880DC4"/>
    <w:rsid w:val="0088141B"/>
    <w:rsid w:val="008821E8"/>
    <w:rsid w:val="00885240"/>
    <w:rsid w:val="00886A24"/>
    <w:rsid w:val="00890064"/>
    <w:rsid w:val="008903F5"/>
    <w:rsid w:val="0089074A"/>
    <w:rsid w:val="00891801"/>
    <w:rsid w:val="00891886"/>
    <w:rsid w:val="00891DE6"/>
    <w:rsid w:val="00891EB7"/>
    <w:rsid w:val="008920A5"/>
    <w:rsid w:val="008930DA"/>
    <w:rsid w:val="00893290"/>
    <w:rsid w:val="00893297"/>
    <w:rsid w:val="00893521"/>
    <w:rsid w:val="00893817"/>
    <w:rsid w:val="00894326"/>
    <w:rsid w:val="00894AE9"/>
    <w:rsid w:val="0089587B"/>
    <w:rsid w:val="00897A4D"/>
    <w:rsid w:val="008A0D38"/>
    <w:rsid w:val="008A12C0"/>
    <w:rsid w:val="008A2900"/>
    <w:rsid w:val="008A2EDA"/>
    <w:rsid w:val="008A4379"/>
    <w:rsid w:val="008A49F5"/>
    <w:rsid w:val="008A4B14"/>
    <w:rsid w:val="008A5422"/>
    <w:rsid w:val="008A5C66"/>
    <w:rsid w:val="008A5F07"/>
    <w:rsid w:val="008A6A7C"/>
    <w:rsid w:val="008A7BC1"/>
    <w:rsid w:val="008B02D0"/>
    <w:rsid w:val="008B047C"/>
    <w:rsid w:val="008B0A14"/>
    <w:rsid w:val="008B1296"/>
    <w:rsid w:val="008B165A"/>
    <w:rsid w:val="008B1D26"/>
    <w:rsid w:val="008B2FD5"/>
    <w:rsid w:val="008B32A0"/>
    <w:rsid w:val="008B3B78"/>
    <w:rsid w:val="008B5C30"/>
    <w:rsid w:val="008B7713"/>
    <w:rsid w:val="008B7E4D"/>
    <w:rsid w:val="008C0007"/>
    <w:rsid w:val="008C1FA9"/>
    <w:rsid w:val="008C2514"/>
    <w:rsid w:val="008C3C6E"/>
    <w:rsid w:val="008C4C1D"/>
    <w:rsid w:val="008C5D0B"/>
    <w:rsid w:val="008C610B"/>
    <w:rsid w:val="008C76C1"/>
    <w:rsid w:val="008D12F5"/>
    <w:rsid w:val="008D22A2"/>
    <w:rsid w:val="008D2E13"/>
    <w:rsid w:val="008D3C94"/>
    <w:rsid w:val="008D483C"/>
    <w:rsid w:val="008D5706"/>
    <w:rsid w:val="008D5C93"/>
    <w:rsid w:val="008D6B78"/>
    <w:rsid w:val="008D6FF1"/>
    <w:rsid w:val="008D7771"/>
    <w:rsid w:val="008D7C70"/>
    <w:rsid w:val="008E0752"/>
    <w:rsid w:val="008E1DEB"/>
    <w:rsid w:val="008E1EFE"/>
    <w:rsid w:val="008E2596"/>
    <w:rsid w:val="008E3766"/>
    <w:rsid w:val="008E4315"/>
    <w:rsid w:val="008E5000"/>
    <w:rsid w:val="008E53EF"/>
    <w:rsid w:val="008E62AC"/>
    <w:rsid w:val="008E6796"/>
    <w:rsid w:val="008E6C31"/>
    <w:rsid w:val="008E6F48"/>
    <w:rsid w:val="008E7730"/>
    <w:rsid w:val="008E7C41"/>
    <w:rsid w:val="008F0C49"/>
    <w:rsid w:val="008F11B9"/>
    <w:rsid w:val="008F1D72"/>
    <w:rsid w:val="008F2591"/>
    <w:rsid w:val="008F299A"/>
    <w:rsid w:val="008F3127"/>
    <w:rsid w:val="008F4151"/>
    <w:rsid w:val="008F484D"/>
    <w:rsid w:val="008F65D6"/>
    <w:rsid w:val="008F6873"/>
    <w:rsid w:val="008F69A4"/>
    <w:rsid w:val="008F7245"/>
    <w:rsid w:val="008F734E"/>
    <w:rsid w:val="008F76CE"/>
    <w:rsid w:val="008F7C95"/>
    <w:rsid w:val="00900830"/>
    <w:rsid w:val="00901790"/>
    <w:rsid w:val="00902B4A"/>
    <w:rsid w:val="00903C92"/>
    <w:rsid w:val="00905ABA"/>
    <w:rsid w:val="009077C6"/>
    <w:rsid w:val="00910247"/>
    <w:rsid w:val="009118FF"/>
    <w:rsid w:val="00912703"/>
    <w:rsid w:val="009129DD"/>
    <w:rsid w:val="009134CC"/>
    <w:rsid w:val="00913DBA"/>
    <w:rsid w:val="00914794"/>
    <w:rsid w:val="00914BA6"/>
    <w:rsid w:val="009158F1"/>
    <w:rsid w:val="009176F0"/>
    <w:rsid w:val="00917BB7"/>
    <w:rsid w:val="00920E6C"/>
    <w:rsid w:val="00921134"/>
    <w:rsid w:val="009213DB"/>
    <w:rsid w:val="0092145B"/>
    <w:rsid w:val="00921DD0"/>
    <w:rsid w:val="00923C89"/>
    <w:rsid w:val="00925C3B"/>
    <w:rsid w:val="00925F7B"/>
    <w:rsid w:val="00926747"/>
    <w:rsid w:val="00930262"/>
    <w:rsid w:val="00931297"/>
    <w:rsid w:val="00932005"/>
    <w:rsid w:val="009328AB"/>
    <w:rsid w:val="00932E40"/>
    <w:rsid w:val="00934530"/>
    <w:rsid w:val="00936AE3"/>
    <w:rsid w:val="0093701D"/>
    <w:rsid w:val="0093709A"/>
    <w:rsid w:val="00937869"/>
    <w:rsid w:val="00937C4F"/>
    <w:rsid w:val="009404F4"/>
    <w:rsid w:val="00940628"/>
    <w:rsid w:val="00940A1E"/>
    <w:rsid w:val="009410CC"/>
    <w:rsid w:val="0094150F"/>
    <w:rsid w:val="00941942"/>
    <w:rsid w:val="009436A9"/>
    <w:rsid w:val="00947B77"/>
    <w:rsid w:val="00947CCC"/>
    <w:rsid w:val="00950A10"/>
    <w:rsid w:val="00950CA2"/>
    <w:rsid w:val="009512F1"/>
    <w:rsid w:val="009522E7"/>
    <w:rsid w:val="00952D9A"/>
    <w:rsid w:val="009536B0"/>
    <w:rsid w:val="00953F7B"/>
    <w:rsid w:val="009543DC"/>
    <w:rsid w:val="00954C99"/>
    <w:rsid w:val="00954E82"/>
    <w:rsid w:val="00955464"/>
    <w:rsid w:val="00955780"/>
    <w:rsid w:val="00955BD4"/>
    <w:rsid w:val="009576C0"/>
    <w:rsid w:val="0096059E"/>
    <w:rsid w:val="009609EF"/>
    <w:rsid w:val="00960B50"/>
    <w:rsid w:val="00961E32"/>
    <w:rsid w:val="009621E9"/>
    <w:rsid w:val="00962526"/>
    <w:rsid w:val="00962B9E"/>
    <w:rsid w:val="00962BFE"/>
    <w:rsid w:val="00963E21"/>
    <w:rsid w:val="00964286"/>
    <w:rsid w:val="00966C84"/>
    <w:rsid w:val="00970882"/>
    <w:rsid w:val="00970AE9"/>
    <w:rsid w:val="00971EEF"/>
    <w:rsid w:val="00972C2C"/>
    <w:rsid w:val="00973E89"/>
    <w:rsid w:val="009747DC"/>
    <w:rsid w:val="00974837"/>
    <w:rsid w:val="00974CD8"/>
    <w:rsid w:val="0097648E"/>
    <w:rsid w:val="009779C0"/>
    <w:rsid w:val="00982655"/>
    <w:rsid w:val="00982797"/>
    <w:rsid w:val="009838AC"/>
    <w:rsid w:val="009857F6"/>
    <w:rsid w:val="00986F0B"/>
    <w:rsid w:val="009874AA"/>
    <w:rsid w:val="00990F77"/>
    <w:rsid w:val="0099106D"/>
    <w:rsid w:val="00992298"/>
    <w:rsid w:val="009926EC"/>
    <w:rsid w:val="00993161"/>
    <w:rsid w:val="00993B08"/>
    <w:rsid w:val="00993B9B"/>
    <w:rsid w:val="009957EC"/>
    <w:rsid w:val="0099592C"/>
    <w:rsid w:val="00995BAA"/>
    <w:rsid w:val="009965D0"/>
    <w:rsid w:val="009A0F52"/>
    <w:rsid w:val="009A0F64"/>
    <w:rsid w:val="009A10F8"/>
    <w:rsid w:val="009A2BF3"/>
    <w:rsid w:val="009A2DEA"/>
    <w:rsid w:val="009A3688"/>
    <w:rsid w:val="009A4517"/>
    <w:rsid w:val="009A49E1"/>
    <w:rsid w:val="009A4CA1"/>
    <w:rsid w:val="009A4CA3"/>
    <w:rsid w:val="009A51B8"/>
    <w:rsid w:val="009A5226"/>
    <w:rsid w:val="009A5418"/>
    <w:rsid w:val="009A604C"/>
    <w:rsid w:val="009A648F"/>
    <w:rsid w:val="009B067A"/>
    <w:rsid w:val="009B19A5"/>
    <w:rsid w:val="009B19DB"/>
    <w:rsid w:val="009B1F85"/>
    <w:rsid w:val="009B255F"/>
    <w:rsid w:val="009B356A"/>
    <w:rsid w:val="009B3BFA"/>
    <w:rsid w:val="009B42BD"/>
    <w:rsid w:val="009B571F"/>
    <w:rsid w:val="009B5EAF"/>
    <w:rsid w:val="009B7550"/>
    <w:rsid w:val="009C07E5"/>
    <w:rsid w:val="009C09F0"/>
    <w:rsid w:val="009C0A33"/>
    <w:rsid w:val="009C1CBA"/>
    <w:rsid w:val="009C1E9A"/>
    <w:rsid w:val="009C249A"/>
    <w:rsid w:val="009C2E56"/>
    <w:rsid w:val="009C4A69"/>
    <w:rsid w:val="009C57F7"/>
    <w:rsid w:val="009C6879"/>
    <w:rsid w:val="009C6F09"/>
    <w:rsid w:val="009D0C49"/>
    <w:rsid w:val="009D1175"/>
    <w:rsid w:val="009D2A53"/>
    <w:rsid w:val="009D32DC"/>
    <w:rsid w:val="009D37A4"/>
    <w:rsid w:val="009D384E"/>
    <w:rsid w:val="009D5837"/>
    <w:rsid w:val="009D65A9"/>
    <w:rsid w:val="009D6A4A"/>
    <w:rsid w:val="009D71F8"/>
    <w:rsid w:val="009D72FF"/>
    <w:rsid w:val="009D7A4C"/>
    <w:rsid w:val="009E053A"/>
    <w:rsid w:val="009E0628"/>
    <w:rsid w:val="009E0B9F"/>
    <w:rsid w:val="009E0FE6"/>
    <w:rsid w:val="009E278A"/>
    <w:rsid w:val="009E3D80"/>
    <w:rsid w:val="009E3EA8"/>
    <w:rsid w:val="009E4B81"/>
    <w:rsid w:val="009E4D4C"/>
    <w:rsid w:val="009E5A4C"/>
    <w:rsid w:val="009E623E"/>
    <w:rsid w:val="009E67F1"/>
    <w:rsid w:val="009E68E8"/>
    <w:rsid w:val="009E6C6B"/>
    <w:rsid w:val="009E72D9"/>
    <w:rsid w:val="009E7A87"/>
    <w:rsid w:val="009E7DD3"/>
    <w:rsid w:val="009F069A"/>
    <w:rsid w:val="009F0896"/>
    <w:rsid w:val="009F0EA4"/>
    <w:rsid w:val="009F1A9C"/>
    <w:rsid w:val="009F1B84"/>
    <w:rsid w:val="009F291C"/>
    <w:rsid w:val="009F2931"/>
    <w:rsid w:val="009F3506"/>
    <w:rsid w:val="009F384C"/>
    <w:rsid w:val="009F3DC7"/>
    <w:rsid w:val="009F6153"/>
    <w:rsid w:val="009F7D9C"/>
    <w:rsid w:val="00A00A6B"/>
    <w:rsid w:val="00A00ED1"/>
    <w:rsid w:val="00A010D0"/>
    <w:rsid w:val="00A015B7"/>
    <w:rsid w:val="00A02728"/>
    <w:rsid w:val="00A02837"/>
    <w:rsid w:val="00A0285F"/>
    <w:rsid w:val="00A02F55"/>
    <w:rsid w:val="00A07238"/>
    <w:rsid w:val="00A072DE"/>
    <w:rsid w:val="00A113F7"/>
    <w:rsid w:val="00A12503"/>
    <w:rsid w:val="00A1256B"/>
    <w:rsid w:val="00A126D6"/>
    <w:rsid w:val="00A13CCB"/>
    <w:rsid w:val="00A15D06"/>
    <w:rsid w:val="00A2123B"/>
    <w:rsid w:val="00A21475"/>
    <w:rsid w:val="00A231E1"/>
    <w:rsid w:val="00A239C0"/>
    <w:rsid w:val="00A23D1C"/>
    <w:rsid w:val="00A23D78"/>
    <w:rsid w:val="00A25764"/>
    <w:rsid w:val="00A25768"/>
    <w:rsid w:val="00A2600D"/>
    <w:rsid w:val="00A26233"/>
    <w:rsid w:val="00A26252"/>
    <w:rsid w:val="00A2634D"/>
    <w:rsid w:val="00A26E2D"/>
    <w:rsid w:val="00A26F82"/>
    <w:rsid w:val="00A274FF"/>
    <w:rsid w:val="00A27F39"/>
    <w:rsid w:val="00A30564"/>
    <w:rsid w:val="00A32FD3"/>
    <w:rsid w:val="00A3360D"/>
    <w:rsid w:val="00A34EAE"/>
    <w:rsid w:val="00A3501E"/>
    <w:rsid w:val="00A362B9"/>
    <w:rsid w:val="00A366CC"/>
    <w:rsid w:val="00A3768C"/>
    <w:rsid w:val="00A37746"/>
    <w:rsid w:val="00A37C1B"/>
    <w:rsid w:val="00A42F08"/>
    <w:rsid w:val="00A462B2"/>
    <w:rsid w:val="00A47AE3"/>
    <w:rsid w:val="00A47D58"/>
    <w:rsid w:val="00A505A8"/>
    <w:rsid w:val="00A50F35"/>
    <w:rsid w:val="00A5125E"/>
    <w:rsid w:val="00A5283D"/>
    <w:rsid w:val="00A5331E"/>
    <w:rsid w:val="00A536A1"/>
    <w:rsid w:val="00A536A5"/>
    <w:rsid w:val="00A536C2"/>
    <w:rsid w:val="00A53825"/>
    <w:rsid w:val="00A5447B"/>
    <w:rsid w:val="00A54D69"/>
    <w:rsid w:val="00A55968"/>
    <w:rsid w:val="00A55D0B"/>
    <w:rsid w:val="00A55FCB"/>
    <w:rsid w:val="00A566DC"/>
    <w:rsid w:val="00A5691E"/>
    <w:rsid w:val="00A56C7F"/>
    <w:rsid w:val="00A57DC0"/>
    <w:rsid w:val="00A604C0"/>
    <w:rsid w:val="00A61CD2"/>
    <w:rsid w:val="00A622CE"/>
    <w:rsid w:val="00A62A9A"/>
    <w:rsid w:val="00A64497"/>
    <w:rsid w:val="00A65F6C"/>
    <w:rsid w:val="00A66183"/>
    <w:rsid w:val="00A67049"/>
    <w:rsid w:val="00A703D9"/>
    <w:rsid w:val="00A70D5F"/>
    <w:rsid w:val="00A7108F"/>
    <w:rsid w:val="00A719A3"/>
    <w:rsid w:val="00A72982"/>
    <w:rsid w:val="00A732E8"/>
    <w:rsid w:val="00A740FA"/>
    <w:rsid w:val="00A74C2D"/>
    <w:rsid w:val="00A74CA4"/>
    <w:rsid w:val="00A74D94"/>
    <w:rsid w:val="00A75D96"/>
    <w:rsid w:val="00A76529"/>
    <w:rsid w:val="00A77F27"/>
    <w:rsid w:val="00A80B2B"/>
    <w:rsid w:val="00A81405"/>
    <w:rsid w:val="00A83FA3"/>
    <w:rsid w:val="00A84255"/>
    <w:rsid w:val="00A84B87"/>
    <w:rsid w:val="00A84BB2"/>
    <w:rsid w:val="00A851E3"/>
    <w:rsid w:val="00A85FDA"/>
    <w:rsid w:val="00A86739"/>
    <w:rsid w:val="00A87A72"/>
    <w:rsid w:val="00A92DFC"/>
    <w:rsid w:val="00A933E8"/>
    <w:rsid w:val="00A93A38"/>
    <w:rsid w:val="00A93B02"/>
    <w:rsid w:val="00A93E36"/>
    <w:rsid w:val="00A94D3E"/>
    <w:rsid w:val="00A95543"/>
    <w:rsid w:val="00A95D0D"/>
    <w:rsid w:val="00A966BA"/>
    <w:rsid w:val="00AA0F93"/>
    <w:rsid w:val="00AA2D97"/>
    <w:rsid w:val="00AA3BBB"/>
    <w:rsid w:val="00AA3F01"/>
    <w:rsid w:val="00AA40AA"/>
    <w:rsid w:val="00AA4426"/>
    <w:rsid w:val="00AA45F0"/>
    <w:rsid w:val="00AA63B5"/>
    <w:rsid w:val="00AA6D74"/>
    <w:rsid w:val="00AA7993"/>
    <w:rsid w:val="00AA7EDE"/>
    <w:rsid w:val="00AB095F"/>
    <w:rsid w:val="00AB1697"/>
    <w:rsid w:val="00AB16A0"/>
    <w:rsid w:val="00AB19FD"/>
    <w:rsid w:val="00AB2ED4"/>
    <w:rsid w:val="00AB3ED0"/>
    <w:rsid w:val="00AB4417"/>
    <w:rsid w:val="00AB5471"/>
    <w:rsid w:val="00AB5E39"/>
    <w:rsid w:val="00AB6688"/>
    <w:rsid w:val="00AC100A"/>
    <w:rsid w:val="00AC27AC"/>
    <w:rsid w:val="00AC39D6"/>
    <w:rsid w:val="00AC411A"/>
    <w:rsid w:val="00AC5716"/>
    <w:rsid w:val="00AC592D"/>
    <w:rsid w:val="00AC5BD3"/>
    <w:rsid w:val="00AC5D23"/>
    <w:rsid w:val="00AC7239"/>
    <w:rsid w:val="00AC7323"/>
    <w:rsid w:val="00AD09BD"/>
    <w:rsid w:val="00AD160A"/>
    <w:rsid w:val="00AD16DF"/>
    <w:rsid w:val="00AD2DB9"/>
    <w:rsid w:val="00AD4348"/>
    <w:rsid w:val="00AD4A27"/>
    <w:rsid w:val="00AD6CC4"/>
    <w:rsid w:val="00AD6EE1"/>
    <w:rsid w:val="00AD7505"/>
    <w:rsid w:val="00AD7837"/>
    <w:rsid w:val="00AE146F"/>
    <w:rsid w:val="00AE3DB7"/>
    <w:rsid w:val="00AE41B5"/>
    <w:rsid w:val="00AE67C3"/>
    <w:rsid w:val="00AE77A0"/>
    <w:rsid w:val="00AF0EFC"/>
    <w:rsid w:val="00AF1FB0"/>
    <w:rsid w:val="00AF319E"/>
    <w:rsid w:val="00AF3A20"/>
    <w:rsid w:val="00AF3A4C"/>
    <w:rsid w:val="00AF4AA5"/>
    <w:rsid w:val="00AF4BBF"/>
    <w:rsid w:val="00AF5C5D"/>
    <w:rsid w:val="00AF64D5"/>
    <w:rsid w:val="00AF7682"/>
    <w:rsid w:val="00AF77DC"/>
    <w:rsid w:val="00AF7A8A"/>
    <w:rsid w:val="00B0024E"/>
    <w:rsid w:val="00B00F4A"/>
    <w:rsid w:val="00B00F91"/>
    <w:rsid w:val="00B024AC"/>
    <w:rsid w:val="00B0284A"/>
    <w:rsid w:val="00B039EC"/>
    <w:rsid w:val="00B04186"/>
    <w:rsid w:val="00B0604F"/>
    <w:rsid w:val="00B0685C"/>
    <w:rsid w:val="00B07E82"/>
    <w:rsid w:val="00B10554"/>
    <w:rsid w:val="00B10880"/>
    <w:rsid w:val="00B11921"/>
    <w:rsid w:val="00B11972"/>
    <w:rsid w:val="00B12530"/>
    <w:rsid w:val="00B12FF0"/>
    <w:rsid w:val="00B13D2F"/>
    <w:rsid w:val="00B140C5"/>
    <w:rsid w:val="00B14123"/>
    <w:rsid w:val="00B15BFF"/>
    <w:rsid w:val="00B1648D"/>
    <w:rsid w:val="00B17651"/>
    <w:rsid w:val="00B2098D"/>
    <w:rsid w:val="00B209DF"/>
    <w:rsid w:val="00B229A9"/>
    <w:rsid w:val="00B245B0"/>
    <w:rsid w:val="00B249D3"/>
    <w:rsid w:val="00B25EA8"/>
    <w:rsid w:val="00B26698"/>
    <w:rsid w:val="00B26C3E"/>
    <w:rsid w:val="00B279E2"/>
    <w:rsid w:val="00B300DA"/>
    <w:rsid w:val="00B309B2"/>
    <w:rsid w:val="00B309EE"/>
    <w:rsid w:val="00B30E8F"/>
    <w:rsid w:val="00B311F5"/>
    <w:rsid w:val="00B31747"/>
    <w:rsid w:val="00B34CAB"/>
    <w:rsid w:val="00B3566A"/>
    <w:rsid w:val="00B36F68"/>
    <w:rsid w:val="00B370DB"/>
    <w:rsid w:val="00B378BB"/>
    <w:rsid w:val="00B41040"/>
    <w:rsid w:val="00B411F3"/>
    <w:rsid w:val="00B412B5"/>
    <w:rsid w:val="00B41A12"/>
    <w:rsid w:val="00B42AB1"/>
    <w:rsid w:val="00B4320D"/>
    <w:rsid w:val="00B434BF"/>
    <w:rsid w:val="00B43C8C"/>
    <w:rsid w:val="00B4432F"/>
    <w:rsid w:val="00B44F31"/>
    <w:rsid w:val="00B4560E"/>
    <w:rsid w:val="00B45EBB"/>
    <w:rsid w:val="00B46245"/>
    <w:rsid w:val="00B50077"/>
    <w:rsid w:val="00B507AC"/>
    <w:rsid w:val="00B52430"/>
    <w:rsid w:val="00B528D3"/>
    <w:rsid w:val="00B53938"/>
    <w:rsid w:val="00B5491A"/>
    <w:rsid w:val="00B55236"/>
    <w:rsid w:val="00B5603A"/>
    <w:rsid w:val="00B568B8"/>
    <w:rsid w:val="00B56D76"/>
    <w:rsid w:val="00B56F83"/>
    <w:rsid w:val="00B57A51"/>
    <w:rsid w:val="00B57B0A"/>
    <w:rsid w:val="00B57F7B"/>
    <w:rsid w:val="00B6047F"/>
    <w:rsid w:val="00B60A1C"/>
    <w:rsid w:val="00B60B8F"/>
    <w:rsid w:val="00B613EB"/>
    <w:rsid w:val="00B6151D"/>
    <w:rsid w:val="00B6188D"/>
    <w:rsid w:val="00B62ECE"/>
    <w:rsid w:val="00B635E5"/>
    <w:rsid w:val="00B63841"/>
    <w:rsid w:val="00B63BD9"/>
    <w:rsid w:val="00B663AE"/>
    <w:rsid w:val="00B669EF"/>
    <w:rsid w:val="00B672C6"/>
    <w:rsid w:val="00B67388"/>
    <w:rsid w:val="00B7159B"/>
    <w:rsid w:val="00B71FC2"/>
    <w:rsid w:val="00B720F1"/>
    <w:rsid w:val="00B72344"/>
    <w:rsid w:val="00B72DFE"/>
    <w:rsid w:val="00B73057"/>
    <w:rsid w:val="00B73745"/>
    <w:rsid w:val="00B737C9"/>
    <w:rsid w:val="00B74700"/>
    <w:rsid w:val="00B750B8"/>
    <w:rsid w:val="00B754C8"/>
    <w:rsid w:val="00B75F9C"/>
    <w:rsid w:val="00B75FBF"/>
    <w:rsid w:val="00B773DD"/>
    <w:rsid w:val="00B77D69"/>
    <w:rsid w:val="00B80DA2"/>
    <w:rsid w:val="00B8109E"/>
    <w:rsid w:val="00B839FF"/>
    <w:rsid w:val="00B841E9"/>
    <w:rsid w:val="00B8423A"/>
    <w:rsid w:val="00B8540A"/>
    <w:rsid w:val="00B85851"/>
    <w:rsid w:val="00B87373"/>
    <w:rsid w:val="00B9014C"/>
    <w:rsid w:val="00B9144C"/>
    <w:rsid w:val="00B92054"/>
    <w:rsid w:val="00B9216D"/>
    <w:rsid w:val="00B9451C"/>
    <w:rsid w:val="00B953C1"/>
    <w:rsid w:val="00B9591D"/>
    <w:rsid w:val="00B95FB0"/>
    <w:rsid w:val="00B96531"/>
    <w:rsid w:val="00B96814"/>
    <w:rsid w:val="00B96868"/>
    <w:rsid w:val="00B96A8E"/>
    <w:rsid w:val="00B96CFF"/>
    <w:rsid w:val="00B96E86"/>
    <w:rsid w:val="00B96F09"/>
    <w:rsid w:val="00B9706D"/>
    <w:rsid w:val="00B97FE3"/>
    <w:rsid w:val="00BA0608"/>
    <w:rsid w:val="00BA06AC"/>
    <w:rsid w:val="00BA0700"/>
    <w:rsid w:val="00BA0880"/>
    <w:rsid w:val="00BA1AEF"/>
    <w:rsid w:val="00BA1FC2"/>
    <w:rsid w:val="00BA2C50"/>
    <w:rsid w:val="00BA4997"/>
    <w:rsid w:val="00BA49FC"/>
    <w:rsid w:val="00BA54AA"/>
    <w:rsid w:val="00BA57FA"/>
    <w:rsid w:val="00BA6689"/>
    <w:rsid w:val="00BA7E13"/>
    <w:rsid w:val="00BB07A5"/>
    <w:rsid w:val="00BB1693"/>
    <w:rsid w:val="00BB19EB"/>
    <w:rsid w:val="00BB36B1"/>
    <w:rsid w:val="00BB4459"/>
    <w:rsid w:val="00BB537B"/>
    <w:rsid w:val="00BB554E"/>
    <w:rsid w:val="00BB5A0B"/>
    <w:rsid w:val="00BB5B4C"/>
    <w:rsid w:val="00BB5F5F"/>
    <w:rsid w:val="00BB6292"/>
    <w:rsid w:val="00BB65EC"/>
    <w:rsid w:val="00BB7A9D"/>
    <w:rsid w:val="00BC0674"/>
    <w:rsid w:val="00BC11EF"/>
    <w:rsid w:val="00BC1B0E"/>
    <w:rsid w:val="00BC285E"/>
    <w:rsid w:val="00BC2CF1"/>
    <w:rsid w:val="00BC4810"/>
    <w:rsid w:val="00BC4A83"/>
    <w:rsid w:val="00BC62CB"/>
    <w:rsid w:val="00BC646B"/>
    <w:rsid w:val="00BD000A"/>
    <w:rsid w:val="00BD002E"/>
    <w:rsid w:val="00BD0506"/>
    <w:rsid w:val="00BD063D"/>
    <w:rsid w:val="00BD2952"/>
    <w:rsid w:val="00BD2EC4"/>
    <w:rsid w:val="00BD3269"/>
    <w:rsid w:val="00BD3831"/>
    <w:rsid w:val="00BD40F5"/>
    <w:rsid w:val="00BD420C"/>
    <w:rsid w:val="00BD54EF"/>
    <w:rsid w:val="00BD6B58"/>
    <w:rsid w:val="00BD7AA6"/>
    <w:rsid w:val="00BE0357"/>
    <w:rsid w:val="00BE0C2F"/>
    <w:rsid w:val="00BE0C3F"/>
    <w:rsid w:val="00BE0C4E"/>
    <w:rsid w:val="00BE0F1B"/>
    <w:rsid w:val="00BE11B2"/>
    <w:rsid w:val="00BE173D"/>
    <w:rsid w:val="00BE212F"/>
    <w:rsid w:val="00BE3B5E"/>
    <w:rsid w:val="00BE4C56"/>
    <w:rsid w:val="00BE5135"/>
    <w:rsid w:val="00BE6C64"/>
    <w:rsid w:val="00BE7397"/>
    <w:rsid w:val="00BF0F7F"/>
    <w:rsid w:val="00BF19B2"/>
    <w:rsid w:val="00BF288B"/>
    <w:rsid w:val="00BF2CF7"/>
    <w:rsid w:val="00BF3A00"/>
    <w:rsid w:val="00BF3B14"/>
    <w:rsid w:val="00BF408C"/>
    <w:rsid w:val="00BF413E"/>
    <w:rsid w:val="00BF57EC"/>
    <w:rsid w:val="00BF682A"/>
    <w:rsid w:val="00BF695A"/>
    <w:rsid w:val="00BF6DF5"/>
    <w:rsid w:val="00BF7E26"/>
    <w:rsid w:val="00BF7ED6"/>
    <w:rsid w:val="00BF7FDD"/>
    <w:rsid w:val="00C0026F"/>
    <w:rsid w:val="00C006A2"/>
    <w:rsid w:val="00C00E5F"/>
    <w:rsid w:val="00C011DD"/>
    <w:rsid w:val="00C012A2"/>
    <w:rsid w:val="00C01B52"/>
    <w:rsid w:val="00C01B54"/>
    <w:rsid w:val="00C0225D"/>
    <w:rsid w:val="00C0295C"/>
    <w:rsid w:val="00C02DB8"/>
    <w:rsid w:val="00C03067"/>
    <w:rsid w:val="00C03C05"/>
    <w:rsid w:val="00C04170"/>
    <w:rsid w:val="00C053E9"/>
    <w:rsid w:val="00C0580B"/>
    <w:rsid w:val="00C06B74"/>
    <w:rsid w:val="00C07E44"/>
    <w:rsid w:val="00C07FBE"/>
    <w:rsid w:val="00C12AF6"/>
    <w:rsid w:val="00C142F0"/>
    <w:rsid w:val="00C14C2E"/>
    <w:rsid w:val="00C14D7F"/>
    <w:rsid w:val="00C15178"/>
    <w:rsid w:val="00C15F8F"/>
    <w:rsid w:val="00C17716"/>
    <w:rsid w:val="00C179A0"/>
    <w:rsid w:val="00C20752"/>
    <w:rsid w:val="00C209F0"/>
    <w:rsid w:val="00C21359"/>
    <w:rsid w:val="00C2206A"/>
    <w:rsid w:val="00C22581"/>
    <w:rsid w:val="00C239A4"/>
    <w:rsid w:val="00C23D5E"/>
    <w:rsid w:val="00C24871"/>
    <w:rsid w:val="00C249D9"/>
    <w:rsid w:val="00C24BFB"/>
    <w:rsid w:val="00C2522B"/>
    <w:rsid w:val="00C2524B"/>
    <w:rsid w:val="00C25BAF"/>
    <w:rsid w:val="00C26086"/>
    <w:rsid w:val="00C26200"/>
    <w:rsid w:val="00C26F98"/>
    <w:rsid w:val="00C32CCD"/>
    <w:rsid w:val="00C3360E"/>
    <w:rsid w:val="00C360D7"/>
    <w:rsid w:val="00C36EA2"/>
    <w:rsid w:val="00C378F8"/>
    <w:rsid w:val="00C412B4"/>
    <w:rsid w:val="00C414CE"/>
    <w:rsid w:val="00C414E5"/>
    <w:rsid w:val="00C41B01"/>
    <w:rsid w:val="00C41CF7"/>
    <w:rsid w:val="00C41FBE"/>
    <w:rsid w:val="00C42AEB"/>
    <w:rsid w:val="00C435D1"/>
    <w:rsid w:val="00C43EEC"/>
    <w:rsid w:val="00C465DD"/>
    <w:rsid w:val="00C466CA"/>
    <w:rsid w:val="00C46CD8"/>
    <w:rsid w:val="00C471C1"/>
    <w:rsid w:val="00C4769F"/>
    <w:rsid w:val="00C47908"/>
    <w:rsid w:val="00C50766"/>
    <w:rsid w:val="00C50A83"/>
    <w:rsid w:val="00C5247F"/>
    <w:rsid w:val="00C53774"/>
    <w:rsid w:val="00C54EDB"/>
    <w:rsid w:val="00C55617"/>
    <w:rsid w:val="00C57FB2"/>
    <w:rsid w:val="00C60FA5"/>
    <w:rsid w:val="00C6256C"/>
    <w:rsid w:val="00C625FD"/>
    <w:rsid w:val="00C633D2"/>
    <w:rsid w:val="00C6381E"/>
    <w:rsid w:val="00C701ED"/>
    <w:rsid w:val="00C7060F"/>
    <w:rsid w:val="00C70C38"/>
    <w:rsid w:val="00C71954"/>
    <w:rsid w:val="00C71B1E"/>
    <w:rsid w:val="00C71D55"/>
    <w:rsid w:val="00C733EB"/>
    <w:rsid w:val="00C7454F"/>
    <w:rsid w:val="00C7546F"/>
    <w:rsid w:val="00C75CF9"/>
    <w:rsid w:val="00C75E65"/>
    <w:rsid w:val="00C76150"/>
    <w:rsid w:val="00C76970"/>
    <w:rsid w:val="00C77CE9"/>
    <w:rsid w:val="00C77F6C"/>
    <w:rsid w:val="00C8142D"/>
    <w:rsid w:val="00C815A0"/>
    <w:rsid w:val="00C81E61"/>
    <w:rsid w:val="00C836C3"/>
    <w:rsid w:val="00C839F8"/>
    <w:rsid w:val="00C84471"/>
    <w:rsid w:val="00C848C9"/>
    <w:rsid w:val="00C84FE1"/>
    <w:rsid w:val="00C85BB3"/>
    <w:rsid w:val="00C86756"/>
    <w:rsid w:val="00C86A71"/>
    <w:rsid w:val="00C86CFB"/>
    <w:rsid w:val="00C923E7"/>
    <w:rsid w:val="00C943C8"/>
    <w:rsid w:val="00C9477E"/>
    <w:rsid w:val="00C94F60"/>
    <w:rsid w:val="00C95F60"/>
    <w:rsid w:val="00CA0C52"/>
    <w:rsid w:val="00CA116B"/>
    <w:rsid w:val="00CA25E8"/>
    <w:rsid w:val="00CA3E80"/>
    <w:rsid w:val="00CA4F86"/>
    <w:rsid w:val="00CA55A2"/>
    <w:rsid w:val="00CA5A91"/>
    <w:rsid w:val="00CA5FF2"/>
    <w:rsid w:val="00CA623B"/>
    <w:rsid w:val="00CA7C09"/>
    <w:rsid w:val="00CB0228"/>
    <w:rsid w:val="00CB0973"/>
    <w:rsid w:val="00CB1BC6"/>
    <w:rsid w:val="00CB1C1B"/>
    <w:rsid w:val="00CB221C"/>
    <w:rsid w:val="00CB2F1C"/>
    <w:rsid w:val="00CB33CE"/>
    <w:rsid w:val="00CB4883"/>
    <w:rsid w:val="00CB4EDF"/>
    <w:rsid w:val="00CB5C89"/>
    <w:rsid w:val="00CC01EA"/>
    <w:rsid w:val="00CC04DA"/>
    <w:rsid w:val="00CC1211"/>
    <w:rsid w:val="00CC1864"/>
    <w:rsid w:val="00CC29F5"/>
    <w:rsid w:val="00CC30FD"/>
    <w:rsid w:val="00CC3E70"/>
    <w:rsid w:val="00CC56CC"/>
    <w:rsid w:val="00CC6423"/>
    <w:rsid w:val="00CC654C"/>
    <w:rsid w:val="00CC6FB9"/>
    <w:rsid w:val="00CC7686"/>
    <w:rsid w:val="00CC7AFC"/>
    <w:rsid w:val="00CD0806"/>
    <w:rsid w:val="00CD1545"/>
    <w:rsid w:val="00CD172C"/>
    <w:rsid w:val="00CD2DC5"/>
    <w:rsid w:val="00CD34FD"/>
    <w:rsid w:val="00CD3ACF"/>
    <w:rsid w:val="00CD4653"/>
    <w:rsid w:val="00CD4C35"/>
    <w:rsid w:val="00CD4DE2"/>
    <w:rsid w:val="00CD5241"/>
    <w:rsid w:val="00CD5F4C"/>
    <w:rsid w:val="00CD62DE"/>
    <w:rsid w:val="00CD6500"/>
    <w:rsid w:val="00CE201C"/>
    <w:rsid w:val="00CE213D"/>
    <w:rsid w:val="00CE24D3"/>
    <w:rsid w:val="00CE2513"/>
    <w:rsid w:val="00CE3F93"/>
    <w:rsid w:val="00CE45C8"/>
    <w:rsid w:val="00CE4F59"/>
    <w:rsid w:val="00CE5988"/>
    <w:rsid w:val="00CE5B93"/>
    <w:rsid w:val="00CE67F1"/>
    <w:rsid w:val="00CE769D"/>
    <w:rsid w:val="00CE77A8"/>
    <w:rsid w:val="00CE7894"/>
    <w:rsid w:val="00CF1356"/>
    <w:rsid w:val="00CF1EFA"/>
    <w:rsid w:val="00CF4F64"/>
    <w:rsid w:val="00CF5344"/>
    <w:rsid w:val="00CF5B63"/>
    <w:rsid w:val="00CF683C"/>
    <w:rsid w:val="00CF6FDA"/>
    <w:rsid w:val="00D002C3"/>
    <w:rsid w:val="00D00725"/>
    <w:rsid w:val="00D00E1F"/>
    <w:rsid w:val="00D00ED3"/>
    <w:rsid w:val="00D00F99"/>
    <w:rsid w:val="00D04A6B"/>
    <w:rsid w:val="00D0564B"/>
    <w:rsid w:val="00D064BE"/>
    <w:rsid w:val="00D0724A"/>
    <w:rsid w:val="00D07296"/>
    <w:rsid w:val="00D077E8"/>
    <w:rsid w:val="00D108CD"/>
    <w:rsid w:val="00D1179B"/>
    <w:rsid w:val="00D11D0C"/>
    <w:rsid w:val="00D121F9"/>
    <w:rsid w:val="00D13305"/>
    <w:rsid w:val="00D135DD"/>
    <w:rsid w:val="00D14400"/>
    <w:rsid w:val="00D147E2"/>
    <w:rsid w:val="00D171FA"/>
    <w:rsid w:val="00D2109C"/>
    <w:rsid w:val="00D21476"/>
    <w:rsid w:val="00D21932"/>
    <w:rsid w:val="00D21D91"/>
    <w:rsid w:val="00D2284B"/>
    <w:rsid w:val="00D22D5B"/>
    <w:rsid w:val="00D22F8D"/>
    <w:rsid w:val="00D23291"/>
    <w:rsid w:val="00D2473A"/>
    <w:rsid w:val="00D24C6D"/>
    <w:rsid w:val="00D25FEB"/>
    <w:rsid w:val="00D26C66"/>
    <w:rsid w:val="00D27B42"/>
    <w:rsid w:val="00D32C45"/>
    <w:rsid w:val="00D3333D"/>
    <w:rsid w:val="00D33E47"/>
    <w:rsid w:val="00D34019"/>
    <w:rsid w:val="00D342FB"/>
    <w:rsid w:val="00D343CD"/>
    <w:rsid w:val="00D347F5"/>
    <w:rsid w:val="00D34AE7"/>
    <w:rsid w:val="00D3561C"/>
    <w:rsid w:val="00D36391"/>
    <w:rsid w:val="00D37660"/>
    <w:rsid w:val="00D401DE"/>
    <w:rsid w:val="00D40426"/>
    <w:rsid w:val="00D4042B"/>
    <w:rsid w:val="00D40E5F"/>
    <w:rsid w:val="00D41008"/>
    <w:rsid w:val="00D41B11"/>
    <w:rsid w:val="00D420AA"/>
    <w:rsid w:val="00D42AB3"/>
    <w:rsid w:val="00D437EA"/>
    <w:rsid w:val="00D43C1E"/>
    <w:rsid w:val="00D43D53"/>
    <w:rsid w:val="00D43F1E"/>
    <w:rsid w:val="00D43FE6"/>
    <w:rsid w:val="00D44523"/>
    <w:rsid w:val="00D4483A"/>
    <w:rsid w:val="00D44924"/>
    <w:rsid w:val="00D44E32"/>
    <w:rsid w:val="00D53C9D"/>
    <w:rsid w:val="00D5406E"/>
    <w:rsid w:val="00D540E7"/>
    <w:rsid w:val="00D54717"/>
    <w:rsid w:val="00D5659F"/>
    <w:rsid w:val="00D56FEA"/>
    <w:rsid w:val="00D577C9"/>
    <w:rsid w:val="00D57945"/>
    <w:rsid w:val="00D57D30"/>
    <w:rsid w:val="00D57EED"/>
    <w:rsid w:val="00D60117"/>
    <w:rsid w:val="00D6068F"/>
    <w:rsid w:val="00D60E5B"/>
    <w:rsid w:val="00D62935"/>
    <w:rsid w:val="00D63B06"/>
    <w:rsid w:val="00D65AA3"/>
    <w:rsid w:val="00D7007E"/>
    <w:rsid w:val="00D70482"/>
    <w:rsid w:val="00D715F4"/>
    <w:rsid w:val="00D736C4"/>
    <w:rsid w:val="00D73CD6"/>
    <w:rsid w:val="00D73E24"/>
    <w:rsid w:val="00D7547A"/>
    <w:rsid w:val="00D755D7"/>
    <w:rsid w:val="00D75CC3"/>
    <w:rsid w:val="00D807A5"/>
    <w:rsid w:val="00D827CF"/>
    <w:rsid w:val="00D82BB8"/>
    <w:rsid w:val="00D83757"/>
    <w:rsid w:val="00D84420"/>
    <w:rsid w:val="00D86128"/>
    <w:rsid w:val="00D86209"/>
    <w:rsid w:val="00D868D8"/>
    <w:rsid w:val="00D878BF"/>
    <w:rsid w:val="00D87DB3"/>
    <w:rsid w:val="00D87EF5"/>
    <w:rsid w:val="00D9003A"/>
    <w:rsid w:val="00D91CDD"/>
    <w:rsid w:val="00D91E7C"/>
    <w:rsid w:val="00D92248"/>
    <w:rsid w:val="00D92832"/>
    <w:rsid w:val="00D92B02"/>
    <w:rsid w:val="00D92CBC"/>
    <w:rsid w:val="00D94B38"/>
    <w:rsid w:val="00D954BF"/>
    <w:rsid w:val="00D95949"/>
    <w:rsid w:val="00D96994"/>
    <w:rsid w:val="00D96C98"/>
    <w:rsid w:val="00D97B11"/>
    <w:rsid w:val="00D97B2A"/>
    <w:rsid w:val="00DA037D"/>
    <w:rsid w:val="00DA1C97"/>
    <w:rsid w:val="00DA2EFA"/>
    <w:rsid w:val="00DA3794"/>
    <w:rsid w:val="00DA3D9F"/>
    <w:rsid w:val="00DA4470"/>
    <w:rsid w:val="00DA5E7D"/>
    <w:rsid w:val="00DA7618"/>
    <w:rsid w:val="00DB01C1"/>
    <w:rsid w:val="00DB10B9"/>
    <w:rsid w:val="00DB1C54"/>
    <w:rsid w:val="00DB2261"/>
    <w:rsid w:val="00DB27C6"/>
    <w:rsid w:val="00DB348F"/>
    <w:rsid w:val="00DB3DEC"/>
    <w:rsid w:val="00DB3F9E"/>
    <w:rsid w:val="00DB447C"/>
    <w:rsid w:val="00DB4B7C"/>
    <w:rsid w:val="00DB4F32"/>
    <w:rsid w:val="00DB519B"/>
    <w:rsid w:val="00DB53F3"/>
    <w:rsid w:val="00DB7626"/>
    <w:rsid w:val="00DB7B09"/>
    <w:rsid w:val="00DC019F"/>
    <w:rsid w:val="00DC1974"/>
    <w:rsid w:val="00DC1F0E"/>
    <w:rsid w:val="00DC254C"/>
    <w:rsid w:val="00DC2845"/>
    <w:rsid w:val="00DC3278"/>
    <w:rsid w:val="00DC4FAB"/>
    <w:rsid w:val="00DC5869"/>
    <w:rsid w:val="00DC5C12"/>
    <w:rsid w:val="00DC62AF"/>
    <w:rsid w:val="00DC7983"/>
    <w:rsid w:val="00DC7CD3"/>
    <w:rsid w:val="00DD10DB"/>
    <w:rsid w:val="00DD30E9"/>
    <w:rsid w:val="00DD39DA"/>
    <w:rsid w:val="00DD4337"/>
    <w:rsid w:val="00DD6C12"/>
    <w:rsid w:val="00DD7000"/>
    <w:rsid w:val="00DE0F3B"/>
    <w:rsid w:val="00DE27B8"/>
    <w:rsid w:val="00DE366C"/>
    <w:rsid w:val="00DE6AA5"/>
    <w:rsid w:val="00DE6FC3"/>
    <w:rsid w:val="00DE7260"/>
    <w:rsid w:val="00DE73CA"/>
    <w:rsid w:val="00DE7BF0"/>
    <w:rsid w:val="00DE7CC2"/>
    <w:rsid w:val="00DE7D60"/>
    <w:rsid w:val="00DF0329"/>
    <w:rsid w:val="00DF2E98"/>
    <w:rsid w:val="00DF4072"/>
    <w:rsid w:val="00DF4A0C"/>
    <w:rsid w:val="00DF6477"/>
    <w:rsid w:val="00DF6CB8"/>
    <w:rsid w:val="00DF70EE"/>
    <w:rsid w:val="00DF7EDD"/>
    <w:rsid w:val="00DF7EE2"/>
    <w:rsid w:val="00DF7F7F"/>
    <w:rsid w:val="00E006A4"/>
    <w:rsid w:val="00E006BA"/>
    <w:rsid w:val="00E00A03"/>
    <w:rsid w:val="00E013E7"/>
    <w:rsid w:val="00E01AB0"/>
    <w:rsid w:val="00E023C6"/>
    <w:rsid w:val="00E03C15"/>
    <w:rsid w:val="00E052C6"/>
    <w:rsid w:val="00E05454"/>
    <w:rsid w:val="00E05AA3"/>
    <w:rsid w:val="00E05C29"/>
    <w:rsid w:val="00E06305"/>
    <w:rsid w:val="00E11ED3"/>
    <w:rsid w:val="00E11F64"/>
    <w:rsid w:val="00E124DF"/>
    <w:rsid w:val="00E13026"/>
    <w:rsid w:val="00E137A5"/>
    <w:rsid w:val="00E13BA6"/>
    <w:rsid w:val="00E15B72"/>
    <w:rsid w:val="00E1630C"/>
    <w:rsid w:val="00E17281"/>
    <w:rsid w:val="00E203F1"/>
    <w:rsid w:val="00E20409"/>
    <w:rsid w:val="00E2040E"/>
    <w:rsid w:val="00E205C1"/>
    <w:rsid w:val="00E20A11"/>
    <w:rsid w:val="00E20B0A"/>
    <w:rsid w:val="00E21633"/>
    <w:rsid w:val="00E21962"/>
    <w:rsid w:val="00E2317F"/>
    <w:rsid w:val="00E23EA8"/>
    <w:rsid w:val="00E24C46"/>
    <w:rsid w:val="00E25CB3"/>
    <w:rsid w:val="00E265AD"/>
    <w:rsid w:val="00E31122"/>
    <w:rsid w:val="00E32159"/>
    <w:rsid w:val="00E327E3"/>
    <w:rsid w:val="00E335FA"/>
    <w:rsid w:val="00E3410D"/>
    <w:rsid w:val="00E343A3"/>
    <w:rsid w:val="00E34DB1"/>
    <w:rsid w:val="00E35A16"/>
    <w:rsid w:val="00E36C0E"/>
    <w:rsid w:val="00E375FF"/>
    <w:rsid w:val="00E37A99"/>
    <w:rsid w:val="00E4209E"/>
    <w:rsid w:val="00E44447"/>
    <w:rsid w:val="00E44707"/>
    <w:rsid w:val="00E448B6"/>
    <w:rsid w:val="00E450C8"/>
    <w:rsid w:val="00E4568E"/>
    <w:rsid w:val="00E45D80"/>
    <w:rsid w:val="00E45E20"/>
    <w:rsid w:val="00E45FA6"/>
    <w:rsid w:val="00E4624B"/>
    <w:rsid w:val="00E4673B"/>
    <w:rsid w:val="00E46B16"/>
    <w:rsid w:val="00E47964"/>
    <w:rsid w:val="00E47F18"/>
    <w:rsid w:val="00E51338"/>
    <w:rsid w:val="00E5377B"/>
    <w:rsid w:val="00E55D0D"/>
    <w:rsid w:val="00E572B3"/>
    <w:rsid w:val="00E61005"/>
    <w:rsid w:val="00E62058"/>
    <w:rsid w:val="00E62CBF"/>
    <w:rsid w:val="00E62CE1"/>
    <w:rsid w:val="00E64700"/>
    <w:rsid w:val="00E64B27"/>
    <w:rsid w:val="00E65D9D"/>
    <w:rsid w:val="00E6692D"/>
    <w:rsid w:val="00E66A28"/>
    <w:rsid w:val="00E67163"/>
    <w:rsid w:val="00E673F3"/>
    <w:rsid w:val="00E67A76"/>
    <w:rsid w:val="00E67D9E"/>
    <w:rsid w:val="00E70831"/>
    <w:rsid w:val="00E710F1"/>
    <w:rsid w:val="00E73489"/>
    <w:rsid w:val="00E73647"/>
    <w:rsid w:val="00E744BF"/>
    <w:rsid w:val="00E74C42"/>
    <w:rsid w:val="00E75A75"/>
    <w:rsid w:val="00E76022"/>
    <w:rsid w:val="00E765C2"/>
    <w:rsid w:val="00E765F5"/>
    <w:rsid w:val="00E7691C"/>
    <w:rsid w:val="00E76D0D"/>
    <w:rsid w:val="00E80B40"/>
    <w:rsid w:val="00E810EF"/>
    <w:rsid w:val="00E828BC"/>
    <w:rsid w:val="00E8321C"/>
    <w:rsid w:val="00E836C8"/>
    <w:rsid w:val="00E84126"/>
    <w:rsid w:val="00E84AA2"/>
    <w:rsid w:val="00E84FAD"/>
    <w:rsid w:val="00E85B94"/>
    <w:rsid w:val="00E91291"/>
    <w:rsid w:val="00E91E41"/>
    <w:rsid w:val="00E938B8"/>
    <w:rsid w:val="00E93CAD"/>
    <w:rsid w:val="00E952D2"/>
    <w:rsid w:val="00E962F6"/>
    <w:rsid w:val="00E9666D"/>
    <w:rsid w:val="00E967DD"/>
    <w:rsid w:val="00EA097F"/>
    <w:rsid w:val="00EA21D6"/>
    <w:rsid w:val="00EA3FB5"/>
    <w:rsid w:val="00EA436E"/>
    <w:rsid w:val="00EA48D1"/>
    <w:rsid w:val="00EA4A47"/>
    <w:rsid w:val="00EA5694"/>
    <w:rsid w:val="00EA584C"/>
    <w:rsid w:val="00EA5A9D"/>
    <w:rsid w:val="00EA6E11"/>
    <w:rsid w:val="00EB1D8C"/>
    <w:rsid w:val="00EB2FEF"/>
    <w:rsid w:val="00EB3EBE"/>
    <w:rsid w:val="00EB471D"/>
    <w:rsid w:val="00EB5B85"/>
    <w:rsid w:val="00EB6C0E"/>
    <w:rsid w:val="00EB6CAC"/>
    <w:rsid w:val="00EB7E14"/>
    <w:rsid w:val="00EB7FC9"/>
    <w:rsid w:val="00EC30A2"/>
    <w:rsid w:val="00EC38C0"/>
    <w:rsid w:val="00EC4033"/>
    <w:rsid w:val="00EC4988"/>
    <w:rsid w:val="00EC4EF2"/>
    <w:rsid w:val="00EC61AF"/>
    <w:rsid w:val="00EC62F0"/>
    <w:rsid w:val="00EC728F"/>
    <w:rsid w:val="00EC7BD9"/>
    <w:rsid w:val="00ED09A9"/>
    <w:rsid w:val="00ED2CC9"/>
    <w:rsid w:val="00ED3C54"/>
    <w:rsid w:val="00ED4058"/>
    <w:rsid w:val="00ED42B0"/>
    <w:rsid w:val="00ED4488"/>
    <w:rsid w:val="00ED4631"/>
    <w:rsid w:val="00ED4963"/>
    <w:rsid w:val="00ED555B"/>
    <w:rsid w:val="00ED598B"/>
    <w:rsid w:val="00ED6963"/>
    <w:rsid w:val="00ED76E2"/>
    <w:rsid w:val="00EE257A"/>
    <w:rsid w:val="00EE381E"/>
    <w:rsid w:val="00EE3AE0"/>
    <w:rsid w:val="00EE3BBD"/>
    <w:rsid w:val="00EE462E"/>
    <w:rsid w:val="00EE5F6E"/>
    <w:rsid w:val="00EE6147"/>
    <w:rsid w:val="00EE69D7"/>
    <w:rsid w:val="00EE6A90"/>
    <w:rsid w:val="00EE7607"/>
    <w:rsid w:val="00EF0A84"/>
    <w:rsid w:val="00EF1C46"/>
    <w:rsid w:val="00EF2989"/>
    <w:rsid w:val="00EF4A7B"/>
    <w:rsid w:val="00EF6D6F"/>
    <w:rsid w:val="00EF760F"/>
    <w:rsid w:val="00F01668"/>
    <w:rsid w:val="00F020C3"/>
    <w:rsid w:val="00F0242E"/>
    <w:rsid w:val="00F027C0"/>
    <w:rsid w:val="00F05155"/>
    <w:rsid w:val="00F057AF"/>
    <w:rsid w:val="00F05DCC"/>
    <w:rsid w:val="00F0781C"/>
    <w:rsid w:val="00F10EE3"/>
    <w:rsid w:val="00F1154B"/>
    <w:rsid w:val="00F11E2A"/>
    <w:rsid w:val="00F11E8E"/>
    <w:rsid w:val="00F126A8"/>
    <w:rsid w:val="00F127D1"/>
    <w:rsid w:val="00F128A5"/>
    <w:rsid w:val="00F12D21"/>
    <w:rsid w:val="00F12E1D"/>
    <w:rsid w:val="00F1443E"/>
    <w:rsid w:val="00F14B34"/>
    <w:rsid w:val="00F14DDD"/>
    <w:rsid w:val="00F1517F"/>
    <w:rsid w:val="00F16288"/>
    <w:rsid w:val="00F16E8B"/>
    <w:rsid w:val="00F2022E"/>
    <w:rsid w:val="00F205E6"/>
    <w:rsid w:val="00F20DDE"/>
    <w:rsid w:val="00F21922"/>
    <w:rsid w:val="00F21EC8"/>
    <w:rsid w:val="00F220E2"/>
    <w:rsid w:val="00F2297F"/>
    <w:rsid w:val="00F236F9"/>
    <w:rsid w:val="00F2404F"/>
    <w:rsid w:val="00F24E33"/>
    <w:rsid w:val="00F25338"/>
    <w:rsid w:val="00F25605"/>
    <w:rsid w:val="00F26107"/>
    <w:rsid w:val="00F262D3"/>
    <w:rsid w:val="00F264D4"/>
    <w:rsid w:val="00F26F6C"/>
    <w:rsid w:val="00F273C4"/>
    <w:rsid w:val="00F277D2"/>
    <w:rsid w:val="00F30B92"/>
    <w:rsid w:val="00F30E05"/>
    <w:rsid w:val="00F31C60"/>
    <w:rsid w:val="00F325A7"/>
    <w:rsid w:val="00F33170"/>
    <w:rsid w:val="00F33EBB"/>
    <w:rsid w:val="00F34C75"/>
    <w:rsid w:val="00F35417"/>
    <w:rsid w:val="00F35477"/>
    <w:rsid w:val="00F35B6D"/>
    <w:rsid w:val="00F3615F"/>
    <w:rsid w:val="00F362BD"/>
    <w:rsid w:val="00F37167"/>
    <w:rsid w:val="00F3718A"/>
    <w:rsid w:val="00F412B6"/>
    <w:rsid w:val="00F4148B"/>
    <w:rsid w:val="00F41A0A"/>
    <w:rsid w:val="00F427F8"/>
    <w:rsid w:val="00F43547"/>
    <w:rsid w:val="00F43CFD"/>
    <w:rsid w:val="00F43D31"/>
    <w:rsid w:val="00F43F79"/>
    <w:rsid w:val="00F43F96"/>
    <w:rsid w:val="00F44080"/>
    <w:rsid w:val="00F44390"/>
    <w:rsid w:val="00F45DD0"/>
    <w:rsid w:val="00F478E5"/>
    <w:rsid w:val="00F478FC"/>
    <w:rsid w:val="00F505A3"/>
    <w:rsid w:val="00F508E1"/>
    <w:rsid w:val="00F515C9"/>
    <w:rsid w:val="00F5238A"/>
    <w:rsid w:val="00F5583E"/>
    <w:rsid w:val="00F5588B"/>
    <w:rsid w:val="00F56AAD"/>
    <w:rsid w:val="00F56E25"/>
    <w:rsid w:val="00F57BA6"/>
    <w:rsid w:val="00F609CC"/>
    <w:rsid w:val="00F60B6C"/>
    <w:rsid w:val="00F60BF3"/>
    <w:rsid w:val="00F617DD"/>
    <w:rsid w:val="00F62647"/>
    <w:rsid w:val="00F626BE"/>
    <w:rsid w:val="00F62D75"/>
    <w:rsid w:val="00F634A6"/>
    <w:rsid w:val="00F636ED"/>
    <w:rsid w:val="00F6398B"/>
    <w:rsid w:val="00F648B0"/>
    <w:rsid w:val="00F65050"/>
    <w:rsid w:val="00F6567E"/>
    <w:rsid w:val="00F65798"/>
    <w:rsid w:val="00F67470"/>
    <w:rsid w:val="00F70956"/>
    <w:rsid w:val="00F71954"/>
    <w:rsid w:val="00F719E7"/>
    <w:rsid w:val="00F71F64"/>
    <w:rsid w:val="00F72711"/>
    <w:rsid w:val="00F72E49"/>
    <w:rsid w:val="00F74C1E"/>
    <w:rsid w:val="00F76D35"/>
    <w:rsid w:val="00F77881"/>
    <w:rsid w:val="00F80367"/>
    <w:rsid w:val="00F80F00"/>
    <w:rsid w:val="00F815B0"/>
    <w:rsid w:val="00F81E3B"/>
    <w:rsid w:val="00F82094"/>
    <w:rsid w:val="00F82376"/>
    <w:rsid w:val="00F825C3"/>
    <w:rsid w:val="00F82AF6"/>
    <w:rsid w:val="00F852E3"/>
    <w:rsid w:val="00F8563B"/>
    <w:rsid w:val="00F85AB0"/>
    <w:rsid w:val="00F861E3"/>
    <w:rsid w:val="00F86686"/>
    <w:rsid w:val="00F870C6"/>
    <w:rsid w:val="00F90588"/>
    <w:rsid w:val="00F90DB0"/>
    <w:rsid w:val="00F90E46"/>
    <w:rsid w:val="00F92B1C"/>
    <w:rsid w:val="00F92DBC"/>
    <w:rsid w:val="00F93686"/>
    <w:rsid w:val="00F93BD5"/>
    <w:rsid w:val="00F93E26"/>
    <w:rsid w:val="00F94D74"/>
    <w:rsid w:val="00F952F1"/>
    <w:rsid w:val="00F95687"/>
    <w:rsid w:val="00F956A2"/>
    <w:rsid w:val="00F957EC"/>
    <w:rsid w:val="00F97658"/>
    <w:rsid w:val="00F977CD"/>
    <w:rsid w:val="00FA0BBF"/>
    <w:rsid w:val="00FA0C7F"/>
    <w:rsid w:val="00FA177A"/>
    <w:rsid w:val="00FA1FDC"/>
    <w:rsid w:val="00FA3213"/>
    <w:rsid w:val="00FA4161"/>
    <w:rsid w:val="00FA5A63"/>
    <w:rsid w:val="00FA7FAD"/>
    <w:rsid w:val="00FB0E21"/>
    <w:rsid w:val="00FB0F55"/>
    <w:rsid w:val="00FB2884"/>
    <w:rsid w:val="00FB487A"/>
    <w:rsid w:val="00FB56F3"/>
    <w:rsid w:val="00FB5FF3"/>
    <w:rsid w:val="00FB699B"/>
    <w:rsid w:val="00FB7E00"/>
    <w:rsid w:val="00FC10C5"/>
    <w:rsid w:val="00FC1E1F"/>
    <w:rsid w:val="00FC1EDA"/>
    <w:rsid w:val="00FC375D"/>
    <w:rsid w:val="00FC42A4"/>
    <w:rsid w:val="00FC4C63"/>
    <w:rsid w:val="00FC5ED9"/>
    <w:rsid w:val="00FC75D1"/>
    <w:rsid w:val="00FC7705"/>
    <w:rsid w:val="00FC7B4E"/>
    <w:rsid w:val="00FD0FA6"/>
    <w:rsid w:val="00FD1E79"/>
    <w:rsid w:val="00FD334D"/>
    <w:rsid w:val="00FD35BF"/>
    <w:rsid w:val="00FD3817"/>
    <w:rsid w:val="00FD4AE2"/>
    <w:rsid w:val="00FD5606"/>
    <w:rsid w:val="00FD6386"/>
    <w:rsid w:val="00FD6FBC"/>
    <w:rsid w:val="00FD7250"/>
    <w:rsid w:val="00FE060D"/>
    <w:rsid w:val="00FE2DCA"/>
    <w:rsid w:val="00FE3988"/>
    <w:rsid w:val="00FE3C0D"/>
    <w:rsid w:val="00FE44D2"/>
    <w:rsid w:val="00FE4C72"/>
    <w:rsid w:val="00FE691E"/>
    <w:rsid w:val="00FE72EA"/>
    <w:rsid w:val="00FE79EA"/>
    <w:rsid w:val="00FF0531"/>
    <w:rsid w:val="00FF15CE"/>
    <w:rsid w:val="00FF276E"/>
    <w:rsid w:val="00FF3659"/>
    <w:rsid w:val="00FF4188"/>
    <w:rsid w:val="00FF5CA8"/>
    <w:rsid w:val="00FF6B3E"/>
    <w:rsid w:val="00FF6C56"/>
    <w:rsid w:val="00FF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B61A5-8C74-4D14-A67A-E78CF2B7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C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C7F0F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0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2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B5A60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2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B5A60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EF5"/>
  </w:style>
  <w:style w:type="paragraph" w:styleId="Rodap">
    <w:name w:val="footer"/>
    <w:basedOn w:val="Normal"/>
    <w:link w:val="RodapChar"/>
    <w:uiPriority w:val="99"/>
    <w:unhideWhenUsed/>
    <w:rsid w:val="00D8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EF5"/>
  </w:style>
  <w:style w:type="paragraph" w:styleId="Textodebalo">
    <w:name w:val="Balloon Text"/>
    <w:basedOn w:val="Normal"/>
    <w:link w:val="TextodebaloChar"/>
    <w:uiPriority w:val="99"/>
    <w:semiHidden/>
    <w:unhideWhenUsed/>
    <w:rsid w:val="00D8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7E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2F55"/>
    <w:pPr>
      <w:ind w:left="720"/>
      <w:contextualSpacing/>
    </w:pPr>
  </w:style>
  <w:style w:type="paragraph" w:customStyle="1" w:styleId="Voto">
    <w:name w:val="Voto"/>
    <w:basedOn w:val="Normal"/>
    <w:link w:val="VotoChar"/>
    <w:rsid w:val="00C053E9"/>
    <w:pPr>
      <w:spacing w:before="120" w:after="120" w:line="240" w:lineRule="auto"/>
      <w:ind w:firstLine="170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VotoChar">
    <w:name w:val="Voto Char"/>
    <w:link w:val="Voto"/>
    <w:rsid w:val="00C053E9"/>
    <w:rPr>
      <w:rFonts w:ascii="Times New Roman" w:eastAsia="Times New Roman" w:hAnsi="Times New Roman"/>
      <w:sz w:val="24"/>
    </w:rPr>
  </w:style>
  <w:style w:type="paragraph" w:styleId="Sumrio1">
    <w:name w:val="toc 1"/>
    <w:basedOn w:val="Normal"/>
    <w:next w:val="Normal"/>
    <w:autoRedefine/>
    <w:uiPriority w:val="99"/>
    <w:rsid w:val="003B59E0"/>
    <w:pPr>
      <w:tabs>
        <w:tab w:val="right" w:leader="dot" w:pos="9071"/>
      </w:tabs>
      <w:spacing w:after="0" w:line="480" w:lineRule="auto"/>
      <w:jc w:val="both"/>
    </w:pPr>
    <w:rPr>
      <w:rFonts w:ascii="Times New Roman" w:hAnsi="Times New Roman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99"/>
    <w:semiHidden/>
    <w:rsid w:val="00356635"/>
    <w:pPr>
      <w:tabs>
        <w:tab w:val="right" w:leader="dot" w:pos="9071"/>
      </w:tabs>
      <w:spacing w:after="0" w:line="48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aliases w:val="Footnote reference,FA Fu,Footnote Text Char Char Char Char Char,Footnote Text Char Char Char Char,Footnote Text Char Char Char,Footnote Text Cha,FA Fußnotentext,FA Fuﬂnotentext,Footnote Text Char Char,FA Fu?notente,Ca,C,ft"/>
    <w:basedOn w:val="Normal"/>
    <w:link w:val="TextodenotaderodapChar"/>
    <w:uiPriority w:val="99"/>
    <w:unhideWhenUsed/>
    <w:qFormat/>
    <w:rsid w:val="00E45FA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Footnote reference Char,FA Fu Char,Footnote Text Char Char Char Char Char Char,Footnote Text Char Char Char Char Char1,Footnote Text Char Char Char Char1,Footnote Text Cha Char,FA Fußnotentext Char,FA Fuﬂnotentext Char"/>
    <w:link w:val="Textodenotaderodap"/>
    <w:uiPriority w:val="99"/>
    <w:rsid w:val="00E45FA6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aliases w:val="Texto de nota al pie,Appel note de bas de page,Footnotes refss,Footnote number,referencia nota al pie,BVI fnr,f,4_G,16 Point,Superscript 6 Point,Texto nota al pie,Footnote Reference Char3,Footnote Reference Char1 Char"/>
    <w:uiPriority w:val="99"/>
    <w:unhideWhenUsed/>
    <w:qFormat/>
    <w:rsid w:val="00E45FA6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003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3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0031B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1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031B6"/>
    <w:rPr>
      <w:b/>
      <w:bCs/>
      <w:lang w:eastAsia="en-US"/>
    </w:rPr>
  </w:style>
  <w:style w:type="character" w:styleId="Forte">
    <w:name w:val="Strong"/>
    <w:uiPriority w:val="22"/>
    <w:qFormat/>
    <w:rsid w:val="00AF0EFC"/>
    <w:rPr>
      <w:b/>
      <w:bCs/>
    </w:rPr>
  </w:style>
  <w:style w:type="paragraph" w:styleId="NormalWeb">
    <w:name w:val="Normal (Web)"/>
    <w:aliases w:val="Normal (Web) Char1,Normal (Web) Char Char,Normal (Web) Char1 Char,Normal (Web) Char Char Char"/>
    <w:basedOn w:val="Normal"/>
    <w:uiPriority w:val="99"/>
    <w:unhideWhenUsed/>
    <w:rsid w:val="00147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A379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249D9"/>
  </w:style>
  <w:style w:type="character" w:customStyle="1" w:styleId="Ttulo1Char">
    <w:name w:val="Título 1 Char"/>
    <w:link w:val="Ttulo1"/>
    <w:rsid w:val="001C7F0F"/>
    <w:rPr>
      <w:rFonts w:ascii="Times New Roman" w:eastAsia="Times New Roman" w:hAnsi="Times New Roman" w:cs="Arial"/>
      <w:b/>
      <w:bCs/>
      <w:kern w:val="32"/>
      <w:szCs w:val="32"/>
    </w:rPr>
  </w:style>
  <w:style w:type="paragraph" w:styleId="Recuodecorpodetexto3">
    <w:name w:val="Body Text Indent 3"/>
    <w:basedOn w:val="Normal"/>
    <w:link w:val="Recuodecorpodetexto3Char"/>
    <w:rsid w:val="0084777F"/>
    <w:pPr>
      <w:spacing w:after="0" w:line="240" w:lineRule="auto"/>
      <w:ind w:left="1260"/>
      <w:jc w:val="both"/>
    </w:pPr>
    <w:rPr>
      <w:rFonts w:ascii="Times New Roman" w:eastAsia="Times New Roman" w:hAnsi="Times New Roman"/>
      <w:i/>
      <w:sz w:val="20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rsid w:val="0084777F"/>
    <w:rPr>
      <w:rFonts w:ascii="Times New Roman" w:eastAsia="Times New Roman" w:hAnsi="Times New Roman"/>
      <w:i/>
    </w:rPr>
  </w:style>
  <w:style w:type="paragraph" w:styleId="Corpodetexto2">
    <w:name w:val="Body Text 2"/>
    <w:basedOn w:val="Normal"/>
    <w:link w:val="Corpodetexto2Char"/>
    <w:rsid w:val="0084777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rsid w:val="0084777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520E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character" w:customStyle="1" w:styleId="null">
    <w:name w:val="null"/>
    <w:basedOn w:val="Fontepargpadro"/>
    <w:rsid w:val="000403DD"/>
  </w:style>
  <w:style w:type="paragraph" w:customStyle="1" w:styleId="HChG">
    <w:name w:val="_ H _Ch_G"/>
    <w:basedOn w:val="Normal"/>
    <w:next w:val="Normal"/>
    <w:rsid w:val="00E375FF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/>
      <w:b/>
      <w:sz w:val="28"/>
      <w:szCs w:val="20"/>
      <w:lang w:val="es-ES" w:eastAsia="es-ES"/>
    </w:rPr>
  </w:style>
  <w:style w:type="paragraph" w:customStyle="1" w:styleId="H1G">
    <w:name w:val="_ H_1_G"/>
    <w:basedOn w:val="Normal"/>
    <w:next w:val="Normal"/>
    <w:rsid w:val="00E375FF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character" w:customStyle="1" w:styleId="SingleTxtGChar">
    <w:name w:val="_ Single Txt_G Char"/>
    <w:link w:val="SingleTxtG"/>
    <w:locked/>
    <w:rsid w:val="00367B5B"/>
    <w:rPr>
      <w:lang w:eastAsia="en-US"/>
    </w:rPr>
  </w:style>
  <w:style w:type="paragraph" w:customStyle="1" w:styleId="SingleTxtG">
    <w:name w:val="_ Single Txt_G"/>
    <w:basedOn w:val="Normal"/>
    <w:link w:val="SingleTxtGChar"/>
    <w:rsid w:val="00367B5B"/>
    <w:pPr>
      <w:suppressAutoHyphens/>
      <w:spacing w:after="120" w:line="240" w:lineRule="atLeast"/>
      <w:ind w:left="1134" w:right="1134"/>
      <w:jc w:val="both"/>
    </w:pPr>
    <w:rPr>
      <w:sz w:val="20"/>
      <w:szCs w:val="20"/>
    </w:rPr>
  </w:style>
  <w:style w:type="paragraph" w:customStyle="1" w:styleId="s32b251d">
    <w:name w:val="s32b251d"/>
    <w:basedOn w:val="Normal"/>
    <w:rsid w:val="009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7d2086b4">
    <w:name w:val="s7d2086b4"/>
    <w:basedOn w:val="Fontepargpadro"/>
    <w:rsid w:val="009D0C49"/>
  </w:style>
  <w:style w:type="character" w:customStyle="1" w:styleId="sb8d990e2">
    <w:name w:val="sb8d990e2"/>
    <w:basedOn w:val="Fontepargpadro"/>
    <w:rsid w:val="009D0C49"/>
  </w:style>
  <w:style w:type="character" w:customStyle="1" w:styleId="s6b621b36">
    <w:name w:val="s6b621b36"/>
    <w:basedOn w:val="Fontepargpadro"/>
    <w:rsid w:val="009D0C49"/>
  </w:style>
  <w:style w:type="character" w:customStyle="1" w:styleId="wordhighlighted">
    <w:name w:val="wordhighlighted"/>
    <w:basedOn w:val="Fontepargpadro"/>
    <w:rsid w:val="00C209F0"/>
  </w:style>
  <w:style w:type="paragraph" w:customStyle="1" w:styleId="Normal1">
    <w:name w:val="Normal1"/>
    <w:basedOn w:val="Normal"/>
    <w:rsid w:val="00C20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--char">
    <w:name w:val="normal--char"/>
    <w:basedOn w:val="Fontepargpadro"/>
    <w:rsid w:val="00C209F0"/>
  </w:style>
  <w:style w:type="character" w:customStyle="1" w:styleId="ju-005fpara--char">
    <w:name w:val="ju-005fpara--char"/>
    <w:basedOn w:val="Fontepargpadro"/>
    <w:rsid w:val="00C209F0"/>
  </w:style>
  <w:style w:type="paragraph" w:customStyle="1" w:styleId="ju-005fpara">
    <w:name w:val="ju-005fpara"/>
    <w:basedOn w:val="Normal"/>
    <w:rsid w:val="00C20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30eec3f8">
    <w:name w:val="s30eec3f8"/>
    <w:basedOn w:val="Normal"/>
    <w:rsid w:val="00D70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f97c7c07">
    <w:name w:val="sf97c7c07"/>
    <w:basedOn w:val="Fontepargpadro"/>
    <w:rsid w:val="00D70482"/>
  </w:style>
  <w:style w:type="paragraph" w:customStyle="1" w:styleId="s86e29719">
    <w:name w:val="s86e29719"/>
    <w:basedOn w:val="Normal"/>
    <w:rsid w:val="00187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f8bfa2bc">
    <w:name w:val="sf8bfa2bc"/>
    <w:basedOn w:val="Fontepargpadro"/>
    <w:rsid w:val="001874E1"/>
  </w:style>
  <w:style w:type="character" w:customStyle="1" w:styleId="sea881cdf">
    <w:name w:val="sea881cdf"/>
    <w:basedOn w:val="Fontepargpadro"/>
    <w:rsid w:val="004460DE"/>
  </w:style>
  <w:style w:type="character" w:customStyle="1" w:styleId="sf1c7242d">
    <w:name w:val="sf1c7242d"/>
    <w:basedOn w:val="Fontepargpadro"/>
    <w:rsid w:val="004460DE"/>
  </w:style>
  <w:style w:type="character" w:styleId="HiperlinkVisitado">
    <w:name w:val="FollowedHyperlink"/>
    <w:basedOn w:val="Fontepargpadro"/>
    <w:uiPriority w:val="99"/>
    <w:semiHidden/>
    <w:unhideWhenUsed/>
    <w:rsid w:val="00551F24"/>
    <w:rPr>
      <w:color w:val="8F9954" w:themeColor="followedHyperlink"/>
      <w:u w:val="single"/>
    </w:rPr>
  </w:style>
  <w:style w:type="paragraph" w:customStyle="1" w:styleId="Standard">
    <w:name w:val="Standard"/>
    <w:rsid w:val="007240B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Footnote">
    <w:name w:val="Footnote"/>
    <w:basedOn w:val="Standard"/>
    <w:rsid w:val="007240BB"/>
    <w:pPr>
      <w:suppressLineNumbers/>
      <w:ind w:left="283" w:hanging="283"/>
    </w:pPr>
    <w:rPr>
      <w:sz w:val="20"/>
      <w:szCs w:val="20"/>
    </w:rPr>
  </w:style>
  <w:style w:type="paragraph" w:customStyle="1" w:styleId="ADMReferncia">
    <w:name w:val="ADM Referência"/>
    <w:basedOn w:val="Normal"/>
    <w:autoRedefine/>
    <w:rsid w:val="007240BB"/>
    <w:pPr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C42A0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2FC5"/>
    <w:rPr>
      <w:rFonts w:asciiTheme="majorHAnsi" w:eastAsiaTheme="majorEastAsia" w:hAnsiTheme="majorHAnsi" w:cstheme="majorBidi"/>
      <w:b/>
      <w:bCs/>
      <w:color w:val="4B5A60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2FC5"/>
    <w:rPr>
      <w:rFonts w:asciiTheme="majorHAnsi" w:eastAsiaTheme="majorEastAsia" w:hAnsiTheme="majorHAnsi" w:cstheme="majorBidi"/>
      <w:b/>
      <w:bCs/>
      <w:color w:val="4B5A60" w:themeColor="accent1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2125DC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343A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343A3"/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66073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66073C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il">
    <w:name w:val="il"/>
    <w:basedOn w:val="Fontepargpadro"/>
    <w:rsid w:val="00ED2CC9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56D7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6D76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B56D76"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91AA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91AAE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910247"/>
  </w:style>
  <w:style w:type="paragraph" w:styleId="SemEspaamento">
    <w:name w:val="No Spacing"/>
    <w:uiPriority w:val="1"/>
    <w:qFormat/>
    <w:rsid w:val="00FA0BBF"/>
    <w:rPr>
      <w:sz w:val="22"/>
      <w:szCs w:val="22"/>
      <w:lang w:eastAsia="en-US"/>
    </w:rPr>
  </w:style>
  <w:style w:type="paragraph" w:customStyle="1" w:styleId="Normal2">
    <w:name w:val="Normal2"/>
    <w:rsid w:val="009B571F"/>
    <w:pP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8796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084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746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869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95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851">
                  <w:marLeft w:val="-225"/>
                  <w:marRight w:val="-22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68202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153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594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895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981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7345">
                  <w:marLeft w:val="-225"/>
                  <w:marRight w:val="-22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6958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468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212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610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5309">
                  <w:marLeft w:val="-225"/>
                  <w:marRight w:val="-22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4589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841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58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031">
                  <w:marLeft w:val="-225"/>
                  <w:marRight w:val="-22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921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179213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3102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063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1649">
                  <w:marLeft w:val="-225"/>
                  <w:marRight w:val="-22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924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260">
          <w:marLeft w:val="-225"/>
          <w:marRight w:val="-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57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13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8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42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1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/h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FFFFFF"/>
      </a:dk1>
      <a:lt1>
        <a:srgbClr val="000000"/>
      </a:lt1>
      <a:dk2>
        <a:srgbClr val="7C8F97"/>
      </a:dk2>
      <a:lt2>
        <a:srgbClr val="D1D0C8"/>
      </a:lt2>
      <a:accent1>
        <a:srgbClr val="4B5A60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266636-F3C1-43E1-91CF-DBFE0B20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11092</Words>
  <Characters>59903</Characters>
  <Application>Microsoft Office Word</Application>
  <DocSecurity>0</DocSecurity>
  <Lines>499</Lines>
  <Paragraphs>141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Washington College of Law</Company>
  <LinksUpToDate>false</LinksUpToDate>
  <CharactersWithSpaces>70854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</dc:creator>
  <cp:lastModifiedBy>Tatiana</cp:lastModifiedBy>
  <cp:revision>2</cp:revision>
  <cp:lastPrinted>2015-02-05T20:18:00Z</cp:lastPrinted>
  <dcterms:created xsi:type="dcterms:W3CDTF">2019-08-16T21:04:00Z</dcterms:created>
  <dcterms:modified xsi:type="dcterms:W3CDTF">2019-08-16T21:04:00Z</dcterms:modified>
</cp:coreProperties>
</file>