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</w:pPr>
    </w:p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1043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2"/>
        <w:gridCol w:w="2269"/>
        <w:gridCol w:w="1763"/>
        <w:gridCol w:w="1618"/>
        <w:gridCol w:w="1323"/>
        <w:gridCol w:w="2352"/>
      </w:tblGrid>
      <w:tr w:rsidR="00F30676" w:rsidTr="00E733C7">
        <w:trPr>
          <w:trHeight w:val="75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30676" w:rsidRDefault="00D27560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606" cy="1061391"/>
                  <wp:effectExtent l="1905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64" cy="106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 w:rsidP="003F5E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UNIVERSIDADE FEDERAL DE OURO PRETO</w:t>
            </w:r>
          </w:p>
          <w:p w:rsidR="00760041" w:rsidRPr="009D44C1" w:rsidRDefault="00760041" w:rsidP="003F5E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INSTITUTO DE CIÊNCIAS EXATAS E APLICADAS</w:t>
            </w:r>
          </w:p>
          <w:p w:rsidR="00F30676" w:rsidRPr="009D44C1" w:rsidRDefault="00F30676" w:rsidP="003F5E2B">
            <w:pPr>
              <w:spacing w:line="360" w:lineRule="auto"/>
              <w:jc w:val="center"/>
              <w:rPr>
                <w:color w:val="C00000"/>
                <w:sz w:val="22"/>
                <w:szCs w:val="22"/>
              </w:rPr>
            </w:pPr>
            <w:r w:rsidRPr="009D44C1">
              <w:rPr>
                <w:color w:val="C00000"/>
                <w:sz w:val="22"/>
                <w:szCs w:val="22"/>
              </w:rPr>
              <w:t xml:space="preserve">DEPARTAMENTO DE </w:t>
            </w:r>
            <w:r w:rsidR="006A314C" w:rsidRPr="009D44C1">
              <w:rPr>
                <w:color w:val="C00000"/>
                <w:sz w:val="22"/>
                <w:szCs w:val="22"/>
              </w:rPr>
              <w:t>ENGENHARIA DE PRODUÇÃO</w:t>
            </w:r>
            <w:r w:rsidRPr="009D44C1">
              <w:rPr>
                <w:color w:val="C00000"/>
                <w:sz w:val="22"/>
                <w:szCs w:val="22"/>
              </w:rPr>
              <w:t xml:space="preserve"> </w:t>
            </w:r>
          </w:p>
          <w:p w:rsidR="00F30676" w:rsidRPr="009D44C1" w:rsidRDefault="00690253" w:rsidP="003F5E2B">
            <w:pPr>
              <w:pStyle w:val="Recuodecorpodetext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Gestão de Serviços</w:t>
            </w:r>
            <w:r w:rsidR="006A314C" w:rsidRPr="009D44C1">
              <w:rPr>
                <w:sz w:val="22"/>
                <w:szCs w:val="22"/>
              </w:rPr>
              <w:t xml:space="preserve"> </w:t>
            </w:r>
            <w:r w:rsidR="00F30676" w:rsidRPr="009D44C1">
              <w:rPr>
                <w:sz w:val="22"/>
                <w:szCs w:val="22"/>
              </w:rPr>
              <w:t xml:space="preserve">– </w:t>
            </w:r>
            <w:r w:rsidRPr="009D44C1">
              <w:rPr>
                <w:sz w:val="22"/>
                <w:szCs w:val="22"/>
              </w:rPr>
              <w:t>ENP 156</w:t>
            </w:r>
          </w:p>
          <w:p w:rsidR="00F30676" w:rsidRDefault="00F30676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F30676" w:rsidTr="00E733C7">
        <w:trPr>
          <w:trHeight w:val="373"/>
        </w:trPr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 w:rsidP="00846CBD">
            <w:pPr>
              <w:spacing w:before="200" w:after="100"/>
              <w:rPr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Aluno</w:t>
            </w:r>
            <w:r w:rsidR="00846CBD">
              <w:rPr>
                <w:sz w:val="22"/>
                <w:szCs w:val="22"/>
              </w:rPr>
              <w:t xml:space="preserve"> (CPF ou RG)</w:t>
            </w:r>
            <w:r w:rsidRPr="009D44C1">
              <w:rPr>
                <w:sz w:val="22"/>
                <w:szCs w:val="22"/>
              </w:rPr>
              <w:t>:</w:t>
            </w:r>
            <w:r w:rsidR="005838F7">
              <w:rPr>
                <w:sz w:val="22"/>
                <w:szCs w:val="22"/>
              </w:rPr>
              <w:t xml:space="preserve"> </w:t>
            </w:r>
            <w:r w:rsidR="006533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246183" w:rsidP="00690253">
            <w:pPr>
              <w:spacing w:before="200" w:after="10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0676" w:rsidRPr="009D44C1">
              <w:rPr>
                <w:sz w:val="22"/>
                <w:szCs w:val="22"/>
              </w:rPr>
              <w:t xml:space="preserve">ª Prova de </w:t>
            </w:r>
            <w:r w:rsidR="00690253" w:rsidRPr="009D44C1">
              <w:rPr>
                <w:sz w:val="22"/>
                <w:szCs w:val="22"/>
              </w:rPr>
              <w:t>ENP 156</w:t>
            </w:r>
          </w:p>
        </w:tc>
      </w:tr>
      <w:tr w:rsidR="00F30676" w:rsidTr="00E733C7">
        <w:trPr>
          <w:trHeight w:val="373"/>
        </w:trPr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 w:rsidP="005C120C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 xml:space="preserve">Professor: </w:t>
            </w:r>
            <w:r w:rsidR="006A314C" w:rsidRPr="009D44C1">
              <w:rPr>
                <w:sz w:val="22"/>
                <w:szCs w:val="22"/>
              </w:rPr>
              <w:t xml:space="preserve">Wagner </w:t>
            </w:r>
            <w:proofErr w:type="spellStart"/>
            <w:r w:rsidR="006A314C" w:rsidRPr="009D44C1">
              <w:rPr>
                <w:sz w:val="22"/>
                <w:szCs w:val="22"/>
              </w:rPr>
              <w:t>Ragi</w:t>
            </w:r>
            <w:proofErr w:type="spellEnd"/>
            <w:r w:rsidR="006A314C" w:rsidRPr="009D44C1">
              <w:rPr>
                <w:sz w:val="22"/>
                <w:szCs w:val="22"/>
              </w:rPr>
              <w:t xml:space="preserve"> Curi Filho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 w:rsidP="005C120C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 xml:space="preserve">Data: </w:t>
            </w:r>
            <w:r w:rsidR="005C120C">
              <w:rPr>
                <w:sz w:val="22"/>
                <w:szCs w:val="22"/>
              </w:rPr>
              <w:t>29/11/2019</w:t>
            </w:r>
          </w:p>
        </w:tc>
      </w:tr>
      <w:tr w:rsidR="00F30676" w:rsidTr="00E733C7">
        <w:trPr>
          <w:trHeight w:val="254"/>
        </w:trPr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 xml:space="preserve">Curso: </w:t>
            </w:r>
            <w:r w:rsidR="006A314C" w:rsidRPr="009D44C1">
              <w:rPr>
                <w:sz w:val="22"/>
                <w:szCs w:val="22"/>
              </w:rPr>
              <w:t>Engenharia de Produção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>
            <w:pPr>
              <w:spacing w:before="200" w:after="100"/>
              <w:rPr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 xml:space="preserve">Período: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 w:rsidP="00246183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Valor:</w:t>
            </w:r>
            <w:r w:rsidR="006A314C" w:rsidRPr="009D44C1">
              <w:rPr>
                <w:sz w:val="22"/>
                <w:szCs w:val="22"/>
              </w:rPr>
              <w:t xml:space="preserve">  </w:t>
            </w:r>
            <w:r w:rsidR="007D0812">
              <w:rPr>
                <w:sz w:val="22"/>
                <w:szCs w:val="22"/>
              </w:rPr>
              <w:t>2</w:t>
            </w:r>
            <w:r w:rsidR="00820654">
              <w:rPr>
                <w:sz w:val="22"/>
                <w:szCs w:val="22"/>
              </w:rPr>
              <w:t>0</w:t>
            </w:r>
            <w:r w:rsidR="00B91385" w:rsidRPr="009D44C1">
              <w:rPr>
                <w:sz w:val="22"/>
                <w:szCs w:val="22"/>
              </w:rPr>
              <w:t>,0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9D44C1" w:rsidRDefault="00F30676">
            <w:pPr>
              <w:spacing w:before="200" w:after="100"/>
              <w:rPr>
                <w:b/>
                <w:sz w:val="22"/>
                <w:szCs w:val="22"/>
              </w:rPr>
            </w:pPr>
            <w:r w:rsidRPr="009D44C1">
              <w:rPr>
                <w:sz w:val="22"/>
                <w:szCs w:val="22"/>
              </w:rPr>
              <w:t>Nota:</w:t>
            </w:r>
          </w:p>
        </w:tc>
      </w:tr>
    </w:tbl>
    <w:p w:rsidR="00F30676" w:rsidRDefault="006A314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Instruções:</w:t>
      </w:r>
    </w:p>
    <w:p w:rsidR="006A314C" w:rsidRPr="00E733C7" w:rsidRDefault="00B57128" w:rsidP="00E733C7">
      <w:pPr>
        <w:numPr>
          <w:ilvl w:val="0"/>
          <w:numId w:val="36"/>
        </w:numPr>
        <w:spacing w:line="360" w:lineRule="auto"/>
        <w:jc w:val="both"/>
      </w:pPr>
      <w:r w:rsidRPr="00E733C7">
        <w:t>As questõe</w:t>
      </w:r>
      <w:r w:rsidR="009D44C1" w:rsidRPr="00E733C7">
        <w:t>s podem ser respondidas a lápis e na ordem que achar mais conveniente.</w:t>
      </w:r>
    </w:p>
    <w:p w:rsidR="009D44C1" w:rsidRPr="00E733C7" w:rsidRDefault="00B57128" w:rsidP="00E733C7">
      <w:pPr>
        <w:numPr>
          <w:ilvl w:val="0"/>
          <w:numId w:val="36"/>
        </w:numPr>
        <w:spacing w:line="360" w:lineRule="auto"/>
        <w:jc w:val="both"/>
        <w:rPr>
          <w:b/>
        </w:rPr>
      </w:pPr>
      <w:r w:rsidRPr="00E733C7">
        <w:t>A interpretação da</w:t>
      </w:r>
      <w:r w:rsidR="009D44C1" w:rsidRPr="00E733C7">
        <w:t xml:space="preserve"> questão faz parte da avaliação e as respostas devem ser claras, objetivas e coerentes com a teoria estudada na disciplina Gestão de Serviços</w:t>
      </w:r>
      <w:r w:rsidR="009D44C1" w:rsidRPr="00E733C7">
        <w:rPr>
          <w:b/>
        </w:rPr>
        <w:t>.</w:t>
      </w:r>
    </w:p>
    <w:p w:rsidR="003F7A6C" w:rsidRPr="00E733C7" w:rsidRDefault="00B57128" w:rsidP="003F7A6C">
      <w:pPr>
        <w:numPr>
          <w:ilvl w:val="0"/>
          <w:numId w:val="36"/>
        </w:numPr>
        <w:spacing w:line="360" w:lineRule="auto"/>
        <w:jc w:val="both"/>
      </w:pPr>
      <w:r w:rsidRPr="00E733C7">
        <w:t xml:space="preserve">O tempo para a realização da prova é de </w:t>
      </w:r>
      <w:r w:rsidR="00B91385" w:rsidRPr="00E733C7">
        <w:t>90</w:t>
      </w:r>
      <w:r w:rsidRPr="00E733C7">
        <w:t xml:space="preserve"> minutos.</w:t>
      </w: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="00272F0B">
        <w:rPr>
          <w:b/>
          <w:sz w:val="22"/>
          <w:szCs w:val="22"/>
        </w:rPr>
        <w:t>Avalie os Trechos a seguir e faça o que se pede:</w:t>
      </w:r>
    </w:p>
    <w:p w:rsidR="00272F0B" w:rsidRDefault="00272F0B" w:rsidP="003C3E19">
      <w:pPr>
        <w:spacing w:line="276" w:lineRule="auto"/>
        <w:jc w:val="both"/>
        <w:rPr>
          <w:b/>
          <w:sz w:val="22"/>
          <w:szCs w:val="22"/>
        </w:rPr>
      </w:pPr>
    </w:p>
    <w:p w:rsidR="006374AE" w:rsidRDefault="00272F0B" w:rsidP="00272F0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Trecho 1</w:t>
      </w:r>
    </w:p>
    <w:p w:rsidR="00272F0B" w:rsidRPr="00272F0B" w:rsidRDefault="00272F0B" w:rsidP="007952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72F0B">
        <w:rPr>
          <w:sz w:val="22"/>
          <w:szCs w:val="22"/>
        </w:rPr>
        <w:t>Observou-se que os aspectos mais significativos na percepção da qualidade em serviços públicos de odontologia da rede municipal de saúde de Florianópolis, para os clientes, foram: a tranquilidade ao utilizar os serviços e a clareza no esclarecimento de dúvidas (91%) e para os cirurgiões-dentistas foi a boa execução dos serviços (100%). De maneira geral, houve concordância nas respostas de ambos os grupos estudados. A concordância nas respostas e profissionais e usuários em relação aos aspectos tangíveis da prestação de serviços também foi observada por Castellanos (2002).</w:t>
      </w:r>
    </w:p>
    <w:p w:rsidR="00DD3416" w:rsidRPr="00272F0B" w:rsidRDefault="00DD3416" w:rsidP="00272F0B">
      <w:pPr>
        <w:spacing w:line="276" w:lineRule="auto"/>
        <w:jc w:val="both"/>
        <w:rPr>
          <w:b/>
          <w:sz w:val="22"/>
          <w:szCs w:val="22"/>
        </w:rPr>
      </w:pPr>
    </w:p>
    <w:p w:rsidR="00272F0B" w:rsidRPr="00272F0B" w:rsidRDefault="00272F0B" w:rsidP="00272F0B">
      <w:pPr>
        <w:autoSpaceDE w:val="0"/>
        <w:autoSpaceDN w:val="0"/>
        <w:adjustRightInd w:val="0"/>
        <w:ind w:left="2124"/>
        <w:jc w:val="both"/>
      </w:pPr>
      <w:r w:rsidRPr="00272F0B">
        <w:t xml:space="preserve">FADEL, M.A.V; REGIS FILHO, G.I. Percepção da qualidade em serviços públicos de saúde: um estudo de caso. </w:t>
      </w:r>
      <w:r w:rsidRPr="00272F0B">
        <w:rPr>
          <w:b/>
          <w:i/>
        </w:rPr>
        <w:t>Revista de Administração Pública</w:t>
      </w:r>
      <w:r w:rsidRPr="00272F0B">
        <w:t xml:space="preserve">. 43(1):07-22, JAN./FEV. 2009, p. 20. </w:t>
      </w:r>
    </w:p>
    <w:p w:rsidR="00272F0B" w:rsidRDefault="00272F0B" w:rsidP="00272F0B">
      <w:pPr>
        <w:spacing w:line="276" w:lineRule="auto"/>
        <w:jc w:val="both"/>
        <w:rPr>
          <w:b/>
          <w:sz w:val="22"/>
          <w:szCs w:val="22"/>
        </w:rPr>
      </w:pPr>
    </w:p>
    <w:p w:rsidR="00272F0B" w:rsidRDefault="00272F0B" w:rsidP="00272F0B">
      <w:pPr>
        <w:spacing w:line="276" w:lineRule="auto"/>
        <w:jc w:val="both"/>
        <w:rPr>
          <w:b/>
          <w:sz w:val="22"/>
          <w:szCs w:val="22"/>
        </w:rPr>
      </w:pPr>
    </w:p>
    <w:p w:rsidR="00272F0B" w:rsidRDefault="00272F0B" w:rsidP="00272F0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Trecho 2</w:t>
      </w: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</w:p>
    <w:p w:rsidR="00DD3416" w:rsidRDefault="00272F0B" w:rsidP="003C3E19">
      <w:pPr>
        <w:spacing w:line="276" w:lineRule="auto"/>
        <w:jc w:val="both"/>
        <w:rPr>
          <w:sz w:val="22"/>
          <w:szCs w:val="22"/>
        </w:rPr>
      </w:pPr>
      <w:r w:rsidRPr="00272F0B">
        <w:rPr>
          <w:sz w:val="22"/>
          <w:szCs w:val="22"/>
        </w:rPr>
        <w:t xml:space="preserve">Utilizamos uma grade que agrupa em três dimensões os critérios de serviço e de qualidade de serviço: complexidade e diversidade, incerteza, duração. </w:t>
      </w:r>
    </w:p>
    <w:p w:rsidR="00272F0B" w:rsidRDefault="00272F0B" w:rsidP="00272F0B">
      <w:pPr>
        <w:autoSpaceDE w:val="0"/>
        <w:autoSpaceDN w:val="0"/>
        <w:adjustRightInd w:val="0"/>
        <w:spacing w:after="120"/>
      </w:pPr>
    </w:p>
    <w:p w:rsidR="00272F0B" w:rsidRDefault="00272F0B" w:rsidP="00272F0B">
      <w:pPr>
        <w:autoSpaceDE w:val="0"/>
        <w:autoSpaceDN w:val="0"/>
        <w:adjustRightInd w:val="0"/>
        <w:spacing w:after="120"/>
        <w:ind w:left="2124"/>
        <w:rPr>
          <w:sz w:val="22"/>
          <w:szCs w:val="22"/>
        </w:rPr>
      </w:pPr>
      <w:r>
        <w:t xml:space="preserve">Fonte: </w:t>
      </w:r>
      <w:r>
        <w:rPr>
          <w:sz w:val="18"/>
          <w:szCs w:val="18"/>
        </w:rPr>
        <w:t>GADRE</w:t>
      </w:r>
      <w:r w:rsidRPr="00C60DF9">
        <w:rPr>
          <w:sz w:val="18"/>
          <w:szCs w:val="18"/>
        </w:rPr>
        <w:t>Y, J. Emprego, Produtividade e Avaliação do Desempenho dos Serviços. In: SALERNO, M.S. (</w:t>
      </w:r>
      <w:proofErr w:type="spellStart"/>
      <w:r w:rsidRPr="00C60DF9">
        <w:rPr>
          <w:sz w:val="18"/>
          <w:szCs w:val="18"/>
        </w:rPr>
        <w:t>org</w:t>
      </w:r>
      <w:proofErr w:type="spellEnd"/>
      <w:r w:rsidRPr="00C60DF9">
        <w:rPr>
          <w:sz w:val="18"/>
          <w:szCs w:val="18"/>
        </w:rPr>
        <w:t xml:space="preserve">). </w:t>
      </w:r>
      <w:r w:rsidRPr="00C60DF9">
        <w:rPr>
          <w:b/>
          <w:sz w:val="18"/>
          <w:szCs w:val="18"/>
        </w:rPr>
        <w:t>Relação de Serviço: Produção e Avaliação.</w:t>
      </w:r>
      <w:r w:rsidRPr="00C60DF9">
        <w:rPr>
          <w:sz w:val="18"/>
          <w:szCs w:val="18"/>
        </w:rPr>
        <w:t xml:space="preserve"> São Paulo: Senac, 2001</w:t>
      </w:r>
      <w:r>
        <w:rPr>
          <w:sz w:val="18"/>
          <w:szCs w:val="18"/>
        </w:rPr>
        <w:t>, p. 47;</w:t>
      </w:r>
    </w:p>
    <w:p w:rsidR="00272F0B" w:rsidRDefault="00272F0B" w:rsidP="003C3E19">
      <w:pPr>
        <w:spacing w:line="276" w:lineRule="auto"/>
        <w:jc w:val="both"/>
        <w:rPr>
          <w:sz w:val="22"/>
          <w:szCs w:val="22"/>
        </w:rPr>
      </w:pPr>
    </w:p>
    <w:p w:rsidR="00272F0B" w:rsidRDefault="00272F0B" w:rsidP="003C3E19">
      <w:pPr>
        <w:spacing w:line="276" w:lineRule="auto"/>
        <w:jc w:val="both"/>
        <w:rPr>
          <w:i/>
          <w:sz w:val="22"/>
          <w:szCs w:val="22"/>
          <w:u w:val="single"/>
        </w:rPr>
      </w:pPr>
    </w:p>
    <w:p w:rsidR="00272F0B" w:rsidRPr="00272F0B" w:rsidRDefault="00272F0B" w:rsidP="003C3E19">
      <w:pPr>
        <w:spacing w:line="276" w:lineRule="auto"/>
        <w:jc w:val="both"/>
        <w:rPr>
          <w:i/>
          <w:sz w:val="22"/>
          <w:szCs w:val="22"/>
          <w:u w:val="single"/>
        </w:rPr>
      </w:pPr>
      <w:r w:rsidRPr="00272F0B">
        <w:rPr>
          <w:i/>
          <w:sz w:val="22"/>
          <w:szCs w:val="22"/>
          <w:u w:val="single"/>
        </w:rPr>
        <w:t>Relacionando os trechos 1 e 2,</w:t>
      </w:r>
      <w:r w:rsidR="0079521C">
        <w:rPr>
          <w:i/>
          <w:sz w:val="22"/>
          <w:szCs w:val="22"/>
          <w:u w:val="single"/>
        </w:rPr>
        <w:t xml:space="preserve"> e considerando o Trabalho de </w:t>
      </w:r>
      <w:proofErr w:type="spellStart"/>
      <w:proofErr w:type="gramStart"/>
      <w:r w:rsidR="0079521C">
        <w:rPr>
          <w:i/>
          <w:sz w:val="22"/>
          <w:szCs w:val="22"/>
          <w:u w:val="single"/>
        </w:rPr>
        <w:t>Gadrey</w:t>
      </w:r>
      <w:proofErr w:type="spellEnd"/>
      <w:r w:rsidR="0079521C">
        <w:rPr>
          <w:i/>
          <w:sz w:val="22"/>
          <w:szCs w:val="22"/>
          <w:u w:val="single"/>
        </w:rPr>
        <w:t xml:space="preserve">, </w:t>
      </w:r>
      <w:r w:rsidRPr="00272F0B">
        <w:rPr>
          <w:i/>
          <w:sz w:val="22"/>
          <w:szCs w:val="22"/>
          <w:u w:val="single"/>
        </w:rPr>
        <w:t xml:space="preserve"> explique</w:t>
      </w:r>
      <w:proofErr w:type="gramEnd"/>
      <w:r w:rsidRPr="00272F0B">
        <w:rPr>
          <w:i/>
          <w:sz w:val="22"/>
          <w:szCs w:val="22"/>
          <w:u w:val="single"/>
        </w:rPr>
        <w:t xml:space="preserve"> como se poderia medir a qualidade nos serviços de odontologia descritos no Trecho 1. </w:t>
      </w:r>
      <w:r w:rsidR="0079521C">
        <w:rPr>
          <w:i/>
          <w:sz w:val="22"/>
          <w:szCs w:val="22"/>
          <w:u w:val="single"/>
        </w:rPr>
        <w:t xml:space="preserve"> (5,0 pontos)</w:t>
      </w: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</w:p>
    <w:p w:rsidR="00DD3416" w:rsidRDefault="00DD3416" w:rsidP="003C3E19">
      <w:pPr>
        <w:spacing w:line="276" w:lineRule="auto"/>
        <w:jc w:val="both"/>
        <w:rPr>
          <w:b/>
          <w:sz w:val="22"/>
          <w:szCs w:val="22"/>
        </w:rPr>
      </w:pPr>
    </w:p>
    <w:p w:rsidR="0079521C" w:rsidRDefault="0079521C" w:rsidP="003C3E19">
      <w:pPr>
        <w:spacing w:line="276" w:lineRule="auto"/>
        <w:jc w:val="both"/>
        <w:rPr>
          <w:b/>
          <w:sz w:val="22"/>
          <w:szCs w:val="22"/>
        </w:rPr>
      </w:pPr>
    </w:p>
    <w:p w:rsidR="00A9663F" w:rsidRDefault="00A9663F" w:rsidP="003C3E19">
      <w:pPr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O trecho refere-se às contribuições de </w:t>
      </w:r>
      <w:proofErr w:type="spellStart"/>
      <w:r>
        <w:rPr>
          <w:b/>
          <w:color w:val="FF0000"/>
          <w:sz w:val="22"/>
          <w:szCs w:val="22"/>
        </w:rPr>
        <w:t>Gadrey</w:t>
      </w:r>
      <w:proofErr w:type="spellEnd"/>
      <w:r>
        <w:rPr>
          <w:b/>
          <w:color w:val="FF0000"/>
          <w:sz w:val="22"/>
          <w:szCs w:val="22"/>
        </w:rPr>
        <w:t xml:space="preserve"> no sentido de inserir a </w:t>
      </w:r>
      <w:proofErr w:type="spellStart"/>
      <w:r>
        <w:rPr>
          <w:b/>
          <w:color w:val="FF0000"/>
          <w:sz w:val="22"/>
          <w:szCs w:val="22"/>
        </w:rPr>
        <w:t>multicriterialidade</w:t>
      </w:r>
      <w:proofErr w:type="spellEnd"/>
      <w:r>
        <w:rPr>
          <w:b/>
          <w:color w:val="FF0000"/>
          <w:sz w:val="22"/>
          <w:szCs w:val="22"/>
        </w:rPr>
        <w:t xml:space="preserve"> nos processos avaliativos. Essa </w:t>
      </w:r>
      <w:proofErr w:type="spellStart"/>
      <w:r>
        <w:rPr>
          <w:b/>
          <w:color w:val="FF0000"/>
          <w:sz w:val="22"/>
          <w:szCs w:val="22"/>
        </w:rPr>
        <w:t>multicriterialidade</w:t>
      </w:r>
      <w:proofErr w:type="spellEnd"/>
      <w:r>
        <w:rPr>
          <w:b/>
          <w:color w:val="FF0000"/>
          <w:sz w:val="22"/>
          <w:szCs w:val="22"/>
        </w:rPr>
        <w:t xml:space="preserve"> deve contemplar aspectos o qual o norte é a Lógica </w:t>
      </w:r>
      <w:proofErr w:type="spellStart"/>
      <w:r>
        <w:rPr>
          <w:b/>
          <w:color w:val="FF0000"/>
          <w:sz w:val="22"/>
          <w:szCs w:val="22"/>
        </w:rPr>
        <w:t>Neofordista</w:t>
      </w:r>
      <w:proofErr w:type="spellEnd"/>
      <w:r>
        <w:rPr>
          <w:b/>
          <w:color w:val="FF0000"/>
          <w:sz w:val="22"/>
          <w:szCs w:val="22"/>
        </w:rPr>
        <w:t xml:space="preserve"> e aspectos o qual o norte é a Lógica de Serviços. Especialmente, daquilo que é tratado no Trecho 2, faz-se referências ao debate inserido na Lógica de Serviços pela qual se compreende que uma avaliação de desempenho de serviços depende de se avaliar o impacto que o serviço proporciona ao usuário. </w:t>
      </w:r>
    </w:p>
    <w:p w:rsidR="00A9663F" w:rsidRDefault="00A9663F" w:rsidP="003C3E19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A9663F" w:rsidRDefault="00A9663F" w:rsidP="003C3E19">
      <w:pPr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Assim, avaliar um serviço odontológico (tal como descrito no Trecho 1) deve considerar itens tais como:</w:t>
      </w:r>
    </w:p>
    <w:p w:rsidR="00A9663F" w:rsidRDefault="00A9663F" w:rsidP="003C3E19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A9663F" w:rsidRDefault="00A9663F" w:rsidP="00A9663F">
      <w:pPr>
        <w:pStyle w:val="PargrafodaLista"/>
        <w:numPr>
          <w:ilvl w:val="0"/>
          <w:numId w:val="47"/>
        </w:numPr>
        <w:spacing w:line="276" w:lineRule="auto"/>
        <w:jc w:val="both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complexidade</w:t>
      </w:r>
      <w:proofErr w:type="gramEnd"/>
      <w:r>
        <w:rPr>
          <w:b/>
          <w:color w:val="FF0000"/>
          <w:sz w:val="22"/>
          <w:szCs w:val="22"/>
        </w:rPr>
        <w:t xml:space="preserve"> e diversidade - avaliando tipos de tratamentos, como as pessoas percebem esses tratamentos em suas vidas dentre outros;</w:t>
      </w:r>
    </w:p>
    <w:p w:rsidR="00A9663F" w:rsidRDefault="004A08DE" w:rsidP="00A9663F">
      <w:pPr>
        <w:pStyle w:val="PargrafodaLista"/>
        <w:numPr>
          <w:ilvl w:val="0"/>
          <w:numId w:val="47"/>
        </w:numPr>
        <w:spacing w:line="276" w:lineRule="auto"/>
        <w:jc w:val="both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i</w:t>
      </w:r>
      <w:r w:rsidR="00A9663F">
        <w:rPr>
          <w:b/>
          <w:color w:val="FF0000"/>
          <w:sz w:val="22"/>
          <w:szCs w:val="22"/>
        </w:rPr>
        <w:t>ncertezas</w:t>
      </w:r>
      <w:proofErr w:type="gramEnd"/>
      <w:r w:rsidR="00A9663F">
        <w:rPr>
          <w:b/>
          <w:color w:val="FF0000"/>
          <w:sz w:val="22"/>
          <w:szCs w:val="22"/>
        </w:rPr>
        <w:t xml:space="preserve"> e tempo – duração do tratamento, explicações, retorno por r</w:t>
      </w:r>
      <w:r>
        <w:rPr>
          <w:b/>
          <w:color w:val="FF0000"/>
          <w:sz w:val="22"/>
          <w:szCs w:val="22"/>
        </w:rPr>
        <w:t>ecaídas, retorno por manutenção;</w:t>
      </w:r>
    </w:p>
    <w:p w:rsidR="00A9663F" w:rsidRDefault="004A08DE" w:rsidP="00A9663F">
      <w:pPr>
        <w:pStyle w:val="PargrafodaLista"/>
        <w:numPr>
          <w:ilvl w:val="0"/>
          <w:numId w:val="47"/>
        </w:numPr>
        <w:spacing w:line="276" w:lineRule="auto"/>
        <w:jc w:val="both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i</w:t>
      </w:r>
      <w:r w:rsidR="00A9663F">
        <w:rPr>
          <w:b/>
          <w:color w:val="FF0000"/>
          <w:sz w:val="22"/>
          <w:szCs w:val="22"/>
        </w:rPr>
        <w:t>ncerteza</w:t>
      </w:r>
      <w:proofErr w:type="gramEnd"/>
      <w:r w:rsidR="00A9663F">
        <w:rPr>
          <w:b/>
          <w:color w:val="FF0000"/>
          <w:sz w:val="22"/>
          <w:szCs w:val="22"/>
        </w:rPr>
        <w:t xml:space="preserve"> e diversidade – capacidade dos pacientes compreenderem o tratamento e seu êxito.</w:t>
      </w:r>
    </w:p>
    <w:p w:rsidR="00A9663F" w:rsidRDefault="00A9663F" w:rsidP="00A9663F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A9663F" w:rsidRPr="00A9663F" w:rsidRDefault="00A9663F" w:rsidP="00A9663F">
      <w:pPr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Soma-se aos itens acima indicadores como duração do tratamento e formas de satisfação com ambiente, com a cordialidade do profissional e outros aspectos de caráter subjetivo e individual. </w:t>
      </w:r>
    </w:p>
    <w:p w:rsidR="00A9663F" w:rsidRDefault="00A9663F" w:rsidP="003C3E19">
      <w:pPr>
        <w:spacing w:line="276" w:lineRule="auto"/>
        <w:jc w:val="both"/>
        <w:rPr>
          <w:b/>
          <w:sz w:val="22"/>
          <w:szCs w:val="22"/>
        </w:rPr>
      </w:pPr>
    </w:p>
    <w:p w:rsidR="00A9663F" w:rsidRDefault="00A9663F" w:rsidP="003C3E19">
      <w:pPr>
        <w:spacing w:line="276" w:lineRule="auto"/>
        <w:jc w:val="both"/>
        <w:rPr>
          <w:b/>
          <w:sz w:val="22"/>
          <w:szCs w:val="22"/>
        </w:rPr>
      </w:pPr>
    </w:p>
    <w:p w:rsidR="0079521C" w:rsidRDefault="0079521C" w:rsidP="0079521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="005C120C">
        <w:rPr>
          <w:b/>
          <w:sz w:val="22"/>
          <w:szCs w:val="22"/>
        </w:rPr>
        <w:t>Leia o</w:t>
      </w:r>
      <w:r>
        <w:rPr>
          <w:b/>
          <w:sz w:val="22"/>
          <w:szCs w:val="22"/>
        </w:rPr>
        <w:t xml:space="preserve"> texto a seguir e faça o que se pede:</w:t>
      </w: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79521C" w:rsidRDefault="005C120C" w:rsidP="0079521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Trecho 3</w:t>
      </w: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C60DF9" w:rsidRPr="0079521C" w:rsidRDefault="0079521C" w:rsidP="005C120C">
      <w:pPr>
        <w:spacing w:line="276" w:lineRule="auto"/>
        <w:jc w:val="both"/>
        <w:rPr>
          <w:sz w:val="22"/>
          <w:szCs w:val="22"/>
        </w:rPr>
      </w:pPr>
      <w:r w:rsidRPr="0079521C">
        <w:rPr>
          <w:sz w:val="22"/>
          <w:szCs w:val="22"/>
        </w:rPr>
        <w:t xml:space="preserve">A ideia principal é o que o serviço não é somente o ponto de chegada da produção. É o também ponto de partida o que justifica sua existência e permite avaliar a performance de uma empresa. </w:t>
      </w:r>
    </w:p>
    <w:p w:rsidR="0079521C" w:rsidRDefault="0079521C" w:rsidP="0079521C">
      <w:pPr>
        <w:spacing w:line="276" w:lineRule="auto"/>
        <w:ind w:left="1416" w:firstLine="708"/>
        <w:jc w:val="both"/>
        <w:rPr>
          <w:sz w:val="18"/>
          <w:szCs w:val="18"/>
        </w:rPr>
      </w:pPr>
    </w:p>
    <w:p w:rsidR="0079521C" w:rsidRPr="0079521C" w:rsidRDefault="0079521C" w:rsidP="0079521C">
      <w:pPr>
        <w:spacing w:line="276" w:lineRule="auto"/>
        <w:ind w:left="2124"/>
        <w:jc w:val="both"/>
        <w:rPr>
          <w:sz w:val="22"/>
          <w:szCs w:val="22"/>
        </w:rPr>
      </w:pPr>
      <w:r>
        <w:rPr>
          <w:sz w:val="18"/>
          <w:szCs w:val="18"/>
        </w:rPr>
        <w:t>ZARIFIAN, F</w:t>
      </w:r>
      <w:r w:rsidRPr="00C60DF9">
        <w:rPr>
          <w:sz w:val="18"/>
          <w:szCs w:val="18"/>
        </w:rPr>
        <w:t xml:space="preserve">. </w:t>
      </w:r>
      <w:r>
        <w:rPr>
          <w:sz w:val="18"/>
          <w:szCs w:val="18"/>
        </w:rPr>
        <w:t>Mutação dos sistemas produtivos e competências profissionais</w:t>
      </w:r>
      <w:r w:rsidRPr="00C60DF9">
        <w:rPr>
          <w:sz w:val="18"/>
          <w:szCs w:val="18"/>
        </w:rPr>
        <w:t>. In: SALERNO, M.S. (</w:t>
      </w:r>
      <w:proofErr w:type="spellStart"/>
      <w:r w:rsidRPr="00C60DF9">
        <w:rPr>
          <w:sz w:val="18"/>
          <w:szCs w:val="18"/>
        </w:rPr>
        <w:t>org</w:t>
      </w:r>
      <w:proofErr w:type="spellEnd"/>
      <w:r w:rsidRPr="00C60DF9">
        <w:rPr>
          <w:sz w:val="18"/>
          <w:szCs w:val="18"/>
        </w:rPr>
        <w:t xml:space="preserve">). </w:t>
      </w:r>
      <w:r w:rsidRPr="00C60DF9">
        <w:rPr>
          <w:b/>
          <w:sz w:val="18"/>
          <w:szCs w:val="18"/>
        </w:rPr>
        <w:t>Relação de Serviço: Produção e Avaliação.</w:t>
      </w:r>
      <w:r w:rsidRPr="00C60DF9">
        <w:rPr>
          <w:sz w:val="18"/>
          <w:szCs w:val="18"/>
        </w:rPr>
        <w:t xml:space="preserve"> São Paulo: Senac, 2001</w:t>
      </w:r>
      <w:r w:rsidR="005A01DC">
        <w:rPr>
          <w:sz w:val="18"/>
          <w:szCs w:val="18"/>
        </w:rPr>
        <w:t>, p. 70</w:t>
      </w:r>
      <w:r>
        <w:rPr>
          <w:sz w:val="18"/>
          <w:szCs w:val="18"/>
        </w:rPr>
        <w:t>;</w:t>
      </w:r>
    </w:p>
    <w:p w:rsidR="0079521C" w:rsidRDefault="0079521C" w:rsidP="0079521C">
      <w:pPr>
        <w:spacing w:line="276" w:lineRule="auto"/>
        <w:jc w:val="both"/>
        <w:rPr>
          <w:sz w:val="22"/>
          <w:szCs w:val="22"/>
        </w:rPr>
      </w:pPr>
    </w:p>
    <w:p w:rsidR="0079521C" w:rsidRPr="0079521C" w:rsidRDefault="0079521C" w:rsidP="0079521C">
      <w:pPr>
        <w:spacing w:line="276" w:lineRule="auto"/>
        <w:jc w:val="both"/>
        <w:rPr>
          <w:i/>
          <w:sz w:val="22"/>
          <w:szCs w:val="22"/>
          <w:u w:val="single"/>
        </w:rPr>
      </w:pPr>
      <w:r w:rsidRPr="0079521C">
        <w:rPr>
          <w:i/>
          <w:sz w:val="22"/>
          <w:szCs w:val="22"/>
          <w:u w:val="single"/>
        </w:rPr>
        <w:t xml:space="preserve">A partir do trecho </w:t>
      </w:r>
      <w:r w:rsidR="005C120C">
        <w:rPr>
          <w:i/>
          <w:sz w:val="22"/>
          <w:szCs w:val="22"/>
          <w:u w:val="single"/>
        </w:rPr>
        <w:t>3</w:t>
      </w:r>
      <w:r w:rsidRPr="0079521C">
        <w:rPr>
          <w:i/>
          <w:sz w:val="22"/>
          <w:szCs w:val="22"/>
          <w:u w:val="single"/>
        </w:rPr>
        <w:t xml:space="preserve"> e das ideias de </w:t>
      </w:r>
      <w:proofErr w:type="spellStart"/>
      <w:r w:rsidRPr="0079521C">
        <w:rPr>
          <w:i/>
          <w:sz w:val="22"/>
          <w:szCs w:val="22"/>
          <w:u w:val="single"/>
        </w:rPr>
        <w:t>Zarifian</w:t>
      </w:r>
      <w:proofErr w:type="spellEnd"/>
      <w:r w:rsidRPr="0079521C">
        <w:rPr>
          <w:i/>
          <w:sz w:val="22"/>
          <w:szCs w:val="22"/>
          <w:u w:val="single"/>
        </w:rPr>
        <w:t>, responda: a que problema debatido</w:t>
      </w:r>
      <w:r w:rsidR="005C120C">
        <w:rPr>
          <w:i/>
          <w:sz w:val="22"/>
          <w:szCs w:val="22"/>
          <w:u w:val="single"/>
        </w:rPr>
        <w:t xml:space="preserve"> no texto de </w:t>
      </w:r>
      <w:proofErr w:type="spellStart"/>
      <w:proofErr w:type="gramStart"/>
      <w:r w:rsidR="005C120C">
        <w:rPr>
          <w:i/>
          <w:sz w:val="22"/>
          <w:szCs w:val="22"/>
          <w:u w:val="single"/>
        </w:rPr>
        <w:t>Zarifian</w:t>
      </w:r>
      <w:proofErr w:type="spellEnd"/>
      <w:r w:rsidR="005C120C">
        <w:rPr>
          <w:i/>
          <w:sz w:val="22"/>
          <w:szCs w:val="22"/>
          <w:u w:val="single"/>
        </w:rPr>
        <w:t>,  o</w:t>
      </w:r>
      <w:proofErr w:type="gramEnd"/>
      <w:r w:rsidR="005C120C">
        <w:rPr>
          <w:i/>
          <w:sz w:val="22"/>
          <w:szCs w:val="22"/>
          <w:u w:val="single"/>
        </w:rPr>
        <w:t xml:space="preserve"> Trecho 3</w:t>
      </w:r>
      <w:r w:rsidRPr="0079521C">
        <w:rPr>
          <w:i/>
          <w:sz w:val="22"/>
          <w:szCs w:val="22"/>
          <w:u w:val="single"/>
        </w:rPr>
        <w:t xml:space="preserve"> se refere. </w:t>
      </w:r>
    </w:p>
    <w:p w:rsidR="0079521C" w:rsidRPr="0079521C" w:rsidRDefault="0079521C" w:rsidP="0079521C">
      <w:pPr>
        <w:spacing w:line="276" w:lineRule="auto"/>
        <w:jc w:val="both"/>
        <w:rPr>
          <w:i/>
          <w:sz w:val="22"/>
          <w:szCs w:val="22"/>
          <w:u w:val="single"/>
        </w:rPr>
      </w:pPr>
    </w:p>
    <w:p w:rsidR="0079521C" w:rsidRPr="0079521C" w:rsidRDefault="0079521C" w:rsidP="0079521C">
      <w:pPr>
        <w:spacing w:line="276" w:lineRule="auto"/>
        <w:jc w:val="both"/>
        <w:rPr>
          <w:i/>
          <w:sz w:val="22"/>
          <w:szCs w:val="22"/>
          <w:u w:val="single"/>
        </w:rPr>
      </w:pPr>
      <w:r w:rsidRPr="0079521C">
        <w:rPr>
          <w:i/>
          <w:sz w:val="22"/>
          <w:szCs w:val="22"/>
          <w:u w:val="single"/>
        </w:rPr>
        <w:t xml:space="preserve">Em seguida, explique </w:t>
      </w:r>
      <w:r w:rsidR="005C120C">
        <w:rPr>
          <w:i/>
          <w:sz w:val="22"/>
          <w:szCs w:val="22"/>
          <w:u w:val="single"/>
        </w:rPr>
        <w:t>quais aspectos devem ser levados em consideração na</w:t>
      </w:r>
      <w:r w:rsidRPr="0079521C">
        <w:rPr>
          <w:i/>
          <w:sz w:val="22"/>
          <w:szCs w:val="22"/>
          <w:u w:val="single"/>
        </w:rPr>
        <w:t xml:space="preserve"> organização das operações de um serviço visando superar</w:t>
      </w:r>
      <w:r w:rsidR="005C120C">
        <w:rPr>
          <w:i/>
          <w:sz w:val="22"/>
          <w:szCs w:val="22"/>
          <w:u w:val="single"/>
        </w:rPr>
        <w:t xml:space="preserve"> o problema descrito no Trecho 3</w:t>
      </w:r>
      <w:r w:rsidRPr="0079521C">
        <w:rPr>
          <w:i/>
          <w:sz w:val="22"/>
          <w:szCs w:val="22"/>
          <w:u w:val="single"/>
        </w:rPr>
        <w:t>. (5,0 pontos)</w:t>
      </w:r>
    </w:p>
    <w:p w:rsidR="0079521C" w:rsidRPr="0079521C" w:rsidRDefault="0079521C" w:rsidP="003C3E19">
      <w:pPr>
        <w:spacing w:line="276" w:lineRule="auto"/>
        <w:jc w:val="both"/>
        <w:rPr>
          <w:sz w:val="22"/>
          <w:szCs w:val="22"/>
        </w:rPr>
      </w:pP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A90515" w:rsidRDefault="00A90515" w:rsidP="005C120C">
      <w:pPr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O trecho 3 refere-se ao problema descrito por </w:t>
      </w:r>
      <w:proofErr w:type="spellStart"/>
      <w:r>
        <w:rPr>
          <w:b/>
          <w:color w:val="FF0000"/>
          <w:sz w:val="22"/>
          <w:szCs w:val="22"/>
        </w:rPr>
        <w:t>Zarifian</w:t>
      </w:r>
      <w:proofErr w:type="spellEnd"/>
      <w:r>
        <w:rPr>
          <w:b/>
          <w:color w:val="FF0000"/>
          <w:sz w:val="22"/>
          <w:szCs w:val="22"/>
        </w:rPr>
        <w:t xml:space="preserve"> como sendo Venda X Prestação de Serviços.  A ideia da “Venda” representa a Lógica </w:t>
      </w:r>
      <w:proofErr w:type="spellStart"/>
      <w:r>
        <w:rPr>
          <w:b/>
          <w:color w:val="FF0000"/>
          <w:sz w:val="22"/>
          <w:szCs w:val="22"/>
        </w:rPr>
        <w:t>Neofordista</w:t>
      </w:r>
      <w:proofErr w:type="spellEnd"/>
      <w:r>
        <w:rPr>
          <w:b/>
          <w:color w:val="FF0000"/>
          <w:sz w:val="22"/>
          <w:szCs w:val="22"/>
        </w:rPr>
        <w:t xml:space="preserve"> na qual se enxerga a venda como o fim da relação entre o prestador de serviço e o usuário. Já a ideia de “Prestação de Serviços” representa a Lógica de Serviços na qual a venda representa o início da relação em ter o prestador de serviços e o usuário. </w:t>
      </w:r>
    </w:p>
    <w:p w:rsidR="00A90515" w:rsidRDefault="00A90515" w:rsidP="005C120C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A90515" w:rsidRPr="00A90515" w:rsidRDefault="00A90515" w:rsidP="005C120C">
      <w:pPr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 solução para o problema apresentado no trecho 3 passa pelos seguintes aspectos: inserir a lógica de serviços nos sistema de gestão no universo dos sistemas de relacionamentos, ampliar a rede com os usuários de forma permanente e aumentar densidade de comunicação entre o universo dos sistemas técnicos e universo dos sistemas de relacionamentos.</w:t>
      </w:r>
    </w:p>
    <w:p w:rsidR="00A90515" w:rsidRDefault="00A90515" w:rsidP="005C120C">
      <w:pPr>
        <w:spacing w:line="276" w:lineRule="auto"/>
        <w:jc w:val="both"/>
        <w:rPr>
          <w:b/>
          <w:sz w:val="22"/>
          <w:szCs w:val="22"/>
        </w:rPr>
      </w:pPr>
    </w:p>
    <w:p w:rsidR="00A90515" w:rsidRDefault="00A90515" w:rsidP="005C120C">
      <w:pPr>
        <w:spacing w:line="276" w:lineRule="auto"/>
        <w:jc w:val="both"/>
        <w:rPr>
          <w:b/>
          <w:sz w:val="22"/>
          <w:szCs w:val="22"/>
        </w:rPr>
      </w:pPr>
    </w:p>
    <w:p w:rsidR="00A90515" w:rsidRDefault="00A90515" w:rsidP="005C120C">
      <w:pPr>
        <w:spacing w:line="276" w:lineRule="auto"/>
        <w:jc w:val="both"/>
        <w:rPr>
          <w:b/>
          <w:sz w:val="22"/>
          <w:szCs w:val="22"/>
        </w:rPr>
      </w:pPr>
    </w:p>
    <w:p w:rsidR="005C120C" w:rsidRDefault="005A01DC" w:rsidP="005C120C">
      <w:pPr>
        <w:spacing w:line="276" w:lineRule="auto"/>
        <w:jc w:val="both"/>
        <w:rPr>
          <w:b/>
          <w:sz w:val="22"/>
          <w:szCs w:val="22"/>
        </w:rPr>
      </w:pPr>
      <w:r w:rsidRPr="005C120C">
        <w:rPr>
          <w:b/>
          <w:sz w:val="22"/>
          <w:szCs w:val="22"/>
        </w:rPr>
        <w:t xml:space="preserve">3) </w:t>
      </w:r>
      <w:r w:rsidR="005C120C">
        <w:rPr>
          <w:b/>
          <w:sz w:val="22"/>
          <w:szCs w:val="22"/>
        </w:rPr>
        <w:t>Leia os texto a seguir e faça o que se pede:</w:t>
      </w:r>
    </w:p>
    <w:p w:rsidR="005C120C" w:rsidRDefault="005C120C" w:rsidP="005A01DC">
      <w:pPr>
        <w:pStyle w:val="Pa8"/>
        <w:jc w:val="both"/>
        <w:rPr>
          <w:rFonts w:ascii="Times New Roman" w:hAnsi="Times New Roman"/>
          <w:b/>
          <w:sz w:val="22"/>
          <w:szCs w:val="22"/>
        </w:rPr>
      </w:pPr>
    </w:p>
    <w:p w:rsidR="005C120C" w:rsidRDefault="005C120C" w:rsidP="005C12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Trecho 4</w:t>
      </w:r>
    </w:p>
    <w:p w:rsidR="005C120C" w:rsidRDefault="005C120C" w:rsidP="005A01DC">
      <w:pPr>
        <w:pStyle w:val="Pa8"/>
        <w:jc w:val="both"/>
        <w:rPr>
          <w:rFonts w:ascii="Times New Roman" w:hAnsi="Times New Roman"/>
          <w:b/>
          <w:sz w:val="22"/>
          <w:szCs w:val="22"/>
        </w:rPr>
      </w:pPr>
    </w:p>
    <w:p w:rsidR="005A01DC" w:rsidRPr="005C120C" w:rsidRDefault="005A01DC" w:rsidP="005C120C">
      <w:pPr>
        <w:pStyle w:val="Pa8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C120C">
        <w:rPr>
          <w:rFonts w:ascii="Times New Roman" w:hAnsi="Times New Roman"/>
          <w:color w:val="000000"/>
          <w:sz w:val="22"/>
          <w:szCs w:val="22"/>
        </w:rPr>
        <w:t xml:space="preserve">Os depoimentos revelam o conflito entre práticas de gestão de pessoas e práticas cotidianas. O indivíduo, no confronto diário com modelos de comportamento (metas, indicadores, normas corporativas e BSC), permeia esse saber institucionalizado de significados construídos de acordo com o contexto (CAVEDON; FERRAZ, 2005), com o intuito de “defini-las como conformes, ou divergentes” da realidade cotidiana vivida por ele (MOSCOVICI, 2003, p. 65). </w:t>
      </w:r>
    </w:p>
    <w:p w:rsidR="005A01DC" w:rsidRPr="005C120C" w:rsidRDefault="005A01DC" w:rsidP="005C120C">
      <w:pPr>
        <w:spacing w:line="276" w:lineRule="auto"/>
        <w:rPr>
          <w:sz w:val="22"/>
          <w:szCs w:val="22"/>
        </w:rPr>
      </w:pPr>
    </w:p>
    <w:p w:rsidR="0079521C" w:rsidRPr="005C120C" w:rsidRDefault="005A01DC" w:rsidP="005C120C">
      <w:pPr>
        <w:spacing w:line="276" w:lineRule="auto"/>
        <w:jc w:val="both"/>
        <w:rPr>
          <w:b/>
          <w:sz w:val="22"/>
          <w:szCs w:val="22"/>
        </w:rPr>
      </w:pPr>
      <w:r w:rsidRPr="005C120C">
        <w:rPr>
          <w:color w:val="000000"/>
          <w:sz w:val="22"/>
          <w:szCs w:val="22"/>
        </w:rPr>
        <w:t>O que se verifica nos depoimentos é que certas atitudes colaboram para o con</w:t>
      </w:r>
      <w:r w:rsidRPr="005C120C">
        <w:rPr>
          <w:color w:val="000000"/>
          <w:sz w:val="22"/>
          <w:szCs w:val="22"/>
        </w:rPr>
        <w:softHyphen/>
        <w:t>flito entre o prescrito e o vivido na instituição (ROULEAU, 2009) e geram implicações para as práticas cotidianas que envolvem a gestão de pessoas, como, por exemplo: a postura da alta gestão, que não consegue enxergar a realidade do funcionário (Coordenador 2) ao definir normas corporativas que não correspondem à “realidade das unidades” (Coordenador 1); a pressão política externa, que faz com que o “pla</w:t>
      </w:r>
      <w:r w:rsidRPr="005C120C">
        <w:rPr>
          <w:color w:val="000000"/>
          <w:sz w:val="22"/>
          <w:szCs w:val="22"/>
        </w:rPr>
        <w:softHyphen/>
        <w:t xml:space="preserve">nejamento estratégico” (Gerente 3) </w:t>
      </w:r>
      <w:r w:rsidRPr="005C120C">
        <w:rPr>
          <w:color w:val="000000"/>
          <w:sz w:val="22"/>
          <w:szCs w:val="22"/>
        </w:rPr>
        <w:lastRenderedPageBreak/>
        <w:t xml:space="preserve">prescrito não seja respeitado e prevaleçam os interesses de alguns sindicatos (vivido); e a ênfase em números, metas e indicadores (prescrito), que prejudica a relação com os alunos (vivido) e a qualidade dos serviços oferecidos, já que, em um espaço que tem capacidade para poucos estudantes, “hoje </w:t>
      </w:r>
      <w:r w:rsidRPr="005C120C">
        <w:rPr>
          <w:i/>
          <w:iCs/>
          <w:color w:val="000000"/>
          <w:sz w:val="22"/>
          <w:szCs w:val="22"/>
        </w:rPr>
        <w:t xml:space="preserve">tá </w:t>
      </w:r>
      <w:r w:rsidRPr="005C120C">
        <w:rPr>
          <w:color w:val="000000"/>
          <w:sz w:val="22"/>
          <w:szCs w:val="22"/>
        </w:rPr>
        <w:t>trabalhando com vinte a trinta” (Subordinado 2).</w:t>
      </w:r>
    </w:p>
    <w:p w:rsidR="005C120C" w:rsidRDefault="005C120C" w:rsidP="005C120C">
      <w:pPr>
        <w:pStyle w:val="Default"/>
        <w:jc w:val="both"/>
        <w:rPr>
          <w:b/>
          <w:sz w:val="22"/>
          <w:szCs w:val="22"/>
        </w:rPr>
      </w:pPr>
    </w:p>
    <w:p w:rsidR="005C120C" w:rsidRPr="005C120C" w:rsidRDefault="005C120C" w:rsidP="005C120C">
      <w:pPr>
        <w:pStyle w:val="Default"/>
        <w:ind w:left="2124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 w:rsidRPr="005C120C">
        <w:rPr>
          <w:rFonts w:ascii="Times New Roman" w:hAnsi="Times New Roman" w:cs="Times New Roman"/>
          <w:b/>
          <w:sz w:val="20"/>
          <w:szCs w:val="20"/>
        </w:rPr>
        <w:t xml:space="preserve">Fonte: </w:t>
      </w:r>
      <w:r w:rsidRPr="005C120C">
        <w:rPr>
          <w:rFonts w:ascii="Times New Roman" w:hAnsi="Times New Roman" w:cs="Times New Roman"/>
          <w:sz w:val="20"/>
          <w:szCs w:val="20"/>
        </w:rPr>
        <w:t xml:space="preserve">MALACARNE, R.; BALASSIANO, M.; NOSSA, V.  Implicações do BSC nas práticas cotidianas que envolvem a gestão de pessoas: estudo de caso em uma instituição de educação profissional. </w:t>
      </w:r>
      <w:r w:rsidRPr="005C120C">
        <w:rPr>
          <w:rStyle w:val="A7"/>
          <w:rFonts w:ascii="Times New Roman" w:hAnsi="Times New Roman" w:cs="Times New Roman"/>
          <w:b/>
          <w:i/>
          <w:sz w:val="20"/>
          <w:szCs w:val="20"/>
        </w:rPr>
        <w:t>O</w:t>
      </w:r>
      <w:r w:rsidRPr="005C120C">
        <w:rPr>
          <w:rStyle w:val="A2"/>
          <w:rFonts w:ascii="Times New Roman" w:hAnsi="Times New Roman" w:cs="Times New Roman"/>
          <w:b/>
          <w:i/>
          <w:sz w:val="20"/>
          <w:szCs w:val="20"/>
        </w:rPr>
        <w:t>&amp;</w:t>
      </w:r>
      <w:r w:rsidRPr="005C120C">
        <w:rPr>
          <w:rStyle w:val="A7"/>
          <w:rFonts w:ascii="Times New Roman" w:hAnsi="Times New Roman" w:cs="Times New Roman"/>
          <w:b/>
          <w:i/>
          <w:sz w:val="20"/>
          <w:szCs w:val="20"/>
        </w:rPr>
        <w:t>S</w:t>
      </w:r>
      <w:r w:rsidRPr="005C120C">
        <w:rPr>
          <w:rStyle w:val="A7"/>
          <w:rFonts w:ascii="Times New Roman" w:hAnsi="Times New Roman" w:cs="Times New Roman"/>
          <w:sz w:val="20"/>
          <w:szCs w:val="20"/>
        </w:rPr>
        <w:t xml:space="preserve"> </w:t>
      </w:r>
      <w:r w:rsidRPr="005C120C">
        <w:rPr>
          <w:rStyle w:val="A2"/>
          <w:rFonts w:ascii="Times New Roman" w:hAnsi="Times New Roman" w:cs="Times New Roman"/>
          <w:sz w:val="20"/>
          <w:szCs w:val="20"/>
        </w:rPr>
        <w:t xml:space="preserve">- Salvador, v. 23, n. 78, p. 406-420, Jul./Set. 2016, p. 415. </w:t>
      </w: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5C120C" w:rsidRPr="005C120C" w:rsidRDefault="005C120C" w:rsidP="005C120C">
      <w:pPr>
        <w:spacing w:line="276" w:lineRule="auto"/>
        <w:jc w:val="both"/>
        <w:rPr>
          <w:i/>
          <w:sz w:val="22"/>
          <w:szCs w:val="22"/>
          <w:u w:val="single"/>
        </w:rPr>
      </w:pPr>
      <w:r w:rsidRPr="005C120C">
        <w:rPr>
          <w:i/>
          <w:sz w:val="22"/>
          <w:szCs w:val="22"/>
          <w:u w:val="single"/>
        </w:rPr>
        <w:t>Estabeleça uma crítica ao Trecho 4 a partir do conceito de Competência Social.  (5,0 pontos)</w:t>
      </w:r>
    </w:p>
    <w:p w:rsidR="00C60DF9" w:rsidRDefault="00C60DF9" w:rsidP="003C3E19">
      <w:pPr>
        <w:spacing w:line="276" w:lineRule="auto"/>
        <w:jc w:val="both"/>
        <w:rPr>
          <w:b/>
          <w:sz w:val="22"/>
          <w:szCs w:val="22"/>
        </w:rPr>
      </w:pPr>
    </w:p>
    <w:p w:rsidR="005C120C" w:rsidRDefault="005C120C" w:rsidP="003C3E19">
      <w:pPr>
        <w:spacing w:line="276" w:lineRule="auto"/>
        <w:jc w:val="both"/>
        <w:rPr>
          <w:b/>
          <w:sz w:val="22"/>
          <w:szCs w:val="22"/>
        </w:rPr>
      </w:pPr>
    </w:p>
    <w:p w:rsidR="00CA1CBE" w:rsidRPr="00274D62" w:rsidRDefault="00CA1CBE" w:rsidP="003C3E19">
      <w:pPr>
        <w:spacing w:line="276" w:lineRule="auto"/>
        <w:jc w:val="both"/>
        <w:rPr>
          <w:color w:val="FF0000"/>
          <w:sz w:val="24"/>
          <w:szCs w:val="24"/>
        </w:rPr>
      </w:pPr>
      <w:r w:rsidRPr="00274D62">
        <w:rPr>
          <w:color w:val="FF0000"/>
          <w:sz w:val="24"/>
          <w:szCs w:val="24"/>
        </w:rPr>
        <w:t xml:space="preserve">A Competência Social implica em autonomia, assumir responsabilidade e </w:t>
      </w:r>
      <w:r w:rsidR="00274D62" w:rsidRPr="00274D62">
        <w:rPr>
          <w:color w:val="FF0000"/>
          <w:sz w:val="24"/>
          <w:szCs w:val="24"/>
        </w:rPr>
        <w:t xml:space="preserve">possuir </w:t>
      </w:r>
      <w:r w:rsidR="00666FAE">
        <w:rPr>
          <w:color w:val="FF0000"/>
          <w:sz w:val="24"/>
          <w:szCs w:val="24"/>
        </w:rPr>
        <w:t>comunicação</w:t>
      </w:r>
      <w:r w:rsidR="00274D62" w:rsidRPr="00274D62">
        <w:rPr>
          <w:color w:val="FF0000"/>
          <w:sz w:val="24"/>
          <w:szCs w:val="24"/>
        </w:rPr>
        <w:t xml:space="preserve"> social. O trecho 4 apresenta uma lacuna entre a realidade previste pratica pela gestão de pessoas e as práticas cotidianas. O conflito pode ser entendido como uma inabilidade do sistema de gestão, incluindo as pessoas que fazem parte dele, em considerar o impacto que a gestão proporciona nos trabalhadores. Assim, uma análise crítica do trecho 4 sugere que há uma falta de competência social daqueles que organizam o sistema de gestão da organização. </w:t>
      </w:r>
    </w:p>
    <w:p w:rsidR="00CA1CBE" w:rsidRDefault="00CA1CBE" w:rsidP="003C3E19">
      <w:pPr>
        <w:spacing w:line="276" w:lineRule="auto"/>
        <w:jc w:val="both"/>
        <w:rPr>
          <w:sz w:val="24"/>
          <w:szCs w:val="24"/>
        </w:rPr>
      </w:pPr>
    </w:p>
    <w:p w:rsidR="00CA1CBE" w:rsidRDefault="00CA1CBE" w:rsidP="003C3E19">
      <w:pPr>
        <w:spacing w:line="276" w:lineRule="auto"/>
        <w:jc w:val="both"/>
        <w:rPr>
          <w:sz w:val="24"/>
          <w:szCs w:val="24"/>
        </w:rPr>
      </w:pP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  <w:r w:rsidRPr="00C02721">
        <w:rPr>
          <w:sz w:val="24"/>
          <w:szCs w:val="24"/>
        </w:rPr>
        <w:t xml:space="preserve">4) Estabeleça uma crítica ao conceito tradicional de Eficiência (Eficiência = Produção/recursos) sob a perspectiva de definição de Eficiência apresentada nas ideias de </w:t>
      </w:r>
      <w:proofErr w:type="spellStart"/>
      <w:r w:rsidRPr="00C02721">
        <w:rPr>
          <w:sz w:val="24"/>
          <w:szCs w:val="24"/>
        </w:rPr>
        <w:t>Zarifian</w:t>
      </w:r>
      <w:proofErr w:type="spellEnd"/>
      <w:r w:rsidRPr="00C02721">
        <w:rPr>
          <w:sz w:val="24"/>
          <w:szCs w:val="24"/>
        </w:rPr>
        <w:t xml:space="preserve"> (no texto ZARIFIAN, F. Valor, organização e competência na produção de serviço. In: SALERNO, M.S. (</w:t>
      </w:r>
      <w:proofErr w:type="spellStart"/>
      <w:r w:rsidRPr="00C02721">
        <w:rPr>
          <w:sz w:val="24"/>
          <w:szCs w:val="24"/>
        </w:rPr>
        <w:t>org</w:t>
      </w:r>
      <w:proofErr w:type="spellEnd"/>
      <w:r w:rsidRPr="00C02721">
        <w:rPr>
          <w:sz w:val="24"/>
          <w:szCs w:val="24"/>
        </w:rPr>
        <w:t xml:space="preserve">). </w:t>
      </w:r>
      <w:r w:rsidRPr="00C02721">
        <w:rPr>
          <w:b/>
          <w:sz w:val="24"/>
          <w:szCs w:val="24"/>
        </w:rPr>
        <w:t>Relação de Serviço: Produção e Avaliação</w:t>
      </w:r>
      <w:r w:rsidRPr="00C02721">
        <w:rPr>
          <w:sz w:val="24"/>
          <w:szCs w:val="24"/>
        </w:rPr>
        <w:t>. São Paulo: Senac, 2001</w:t>
      </w:r>
      <w:r>
        <w:rPr>
          <w:sz w:val="24"/>
          <w:szCs w:val="24"/>
        </w:rPr>
        <w:t>.</w:t>
      </w:r>
      <w:r w:rsidRPr="00C02721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 w:rsidRPr="00C02721">
        <w:rPr>
          <w:sz w:val="24"/>
          <w:szCs w:val="24"/>
        </w:rPr>
        <w:t>(5,0 pontos)</w:t>
      </w: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p w:rsidR="00C02721" w:rsidRPr="00F73439" w:rsidRDefault="00F73439" w:rsidP="003C3E19">
      <w:pPr>
        <w:spacing w:line="276" w:lineRule="auto"/>
        <w:jc w:val="both"/>
        <w:rPr>
          <w:b/>
          <w:color w:val="FF0000"/>
          <w:sz w:val="22"/>
          <w:szCs w:val="22"/>
        </w:rPr>
      </w:pPr>
      <w:r w:rsidRPr="00F73439">
        <w:rPr>
          <w:b/>
          <w:color w:val="FF0000"/>
          <w:sz w:val="22"/>
          <w:szCs w:val="22"/>
        </w:rPr>
        <w:t xml:space="preserve">Para </w:t>
      </w:r>
      <w:proofErr w:type="spellStart"/>
      <w:r w:rsidRPr="00F73439">
        <w:rPr>
          <w:b/>
          <w:color w:val="FF0000"/>
          <w:sz w:val="22"/>
          <w:szCs w:val="22"/>
        </w:rPr>
        <w:t>Zarifian</w:t>
      </w:r>
      <w:proofErr w:type="spellEnd"/>
      <w:r w:rsidRPr="00F73439">
        <w:rPr>
          <w:b/>
          <w:color w:val="FF0000"/>
          <w:sz w:val="22"/>
          <w:szCs w:val="22"/>
        </w:rPr>
        <w:t>, eficiência deve ser considerada a partir de um viés mais amplo que aquele proposto nas formas tradicionais. Essa amplitude refere-se à pertinência entre expectativas do usuário e recursos disponíveis, que pode ser compreendida como competências profissionais. Nesse sentido, pode-se considerar que avaliação da eficiência abrang</w:t>
      </w:r>
      <w:r>
        <w:rPr>
          <w:b/>
          <w:color w:val="FF0000"/>
          <w:sz w:val="22"/>
          <w:szCs w:val="22"/>
        </w:rPr>
        <w:t>e, características para</w:t>
      </w:r>
      <w:r w:rsidRPr="00F73439">
        <w:rPr>
          <w:b/>
          <w:color w:val="FF0000"/>
          <w:sz w:val="22"/>
          <w:szCs w:val="22"/>
        </w:rPr>
        <w:t xml:space="preserve"> além dos recursos (como nas formas tradicionais</w:t>
      </w:r>
      <w:r>
        <w:rPr>
          <w:b/>
          <w:color w:val="FF0000"/>
          <w:sz w:val="22"/>
          <w:szCs w:val="22"/>
        </w:rPr>
        <w:t>)</w:t>
      </w:r>
      <w:r w:rsidRPr="00F73439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 xml:space="preserve"> como, por exemplo, aquela</w:t>
      </w:r>
      <w:bookmarkStart w:id="0" w:name="_GoBack"/>
      <w:bookmarkEnd w:id="0"/>
      <w:r>
        <w:rPr>
          <w:b/>
          <w:color w:val="FF0000"/>
          <w:sz w:val="22"/>
          <w:szCs w:val="22"/>
        </w:rPr>
        <w:t>s</w:t>
      </w:r>
      <w:r w:rsidRPr="00F73439">
        <w:rPr>
          <w:b/>
          <w:color w:val="FF0000"/>
          <w:sz w:val="22"/>
          <w:szCs w:val="22"/>
        </w:rPr>
        <w:t xml:space="preserve"> ligadas à estética, justiça e solidariedade. </w:t>
      </w: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p w:rsidR="00C02721" w:rsidRDefault="00C02721" w:rsidP="003C3E19">
      <w:pPr>
        <w:spacing w:line="276" w:lineRule="auto"/>
        <w:jc w:val="both"/>
        <w:rPr>
          <w:b/>
          <w:sz w:val="22"/>
          <w:szCs w:val="22"/>
        </w:rPr>
      </w:pPr>
    </w:p>
    <w:sectPr w:rsidR="00C02721" w:rsidSect="00E733C7">
      <w:pgSz w:w="11907" w:h="16840" w:code="9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oisterOpenFace BT">
    <w:altName w:val="CloisterOpenFace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CD113E"/>
    <w:multiLevelType w:val="hybridMultilevel"/>
    <w:tmpl w:val="DECA90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4996980"/>
    <w:multiLevelType w:val="hybridMultilevel"/>
    <w:tmpl w:val="3E76A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50BD6"/>
    <w:multiLevelType w:val="hybridMultilevel"/>
    <w:tmpl w:val="A5F09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1BB94344"/>
    <w:multiLevelType w:val="hybridMultilevel"/>
    <w:tmpl w:val="28A47664"/>
    <w:lvl w:ilvl="0" w:tplc="6F30F12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17F74"/>
    <w:multiLevelType w:val="hybridMultilevel"/>
    <w:tmpl w:val="776CC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623B0"/>
    <w:multiLevelType w:val="hybridMultilevel"/>
    <w:tmpl w:val="ACEC63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C9D2581"/>
    <w:multiLevelType w:val="hybridMultilevel"/>
    <w:tmpl w:val="8F5405D8"/>
    <w:lvl w:ilvl="0" w:tplc="82B24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E7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B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8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8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0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8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4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2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1A529E3"/>
    <w:multiLevelType w:val="hybridMultilevel"/>
    <w:tmpl w:val="F62A7594"/>
    <w:lvl w:ilvl="0" w:tplc="10F4A4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A9864D6"/>
    <w:multiLevelType w:val="hybridMultilevel"/>
    <w:tmpl w:val="A64AD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330327D"/>
    <w:multiLevelType w:val="hybridMultilevel"/>
    <w:tmpl w:val="42BA317E"/>
    <w:lvl w:ilvl="0" w:tplc="5A54AA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0A5253"/>
    <w:multiLevelType w:val="hybridMultilevel"/>
    <w:tmpl w:val="11DEC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17C190E"/>
    <w:multiLevelType w:val="hybridMultilevel"/>
    <w:tmpl w:val="82E85CAA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5180580"/>
    <w:multiLevelType w:val="hybridMultilevel"/>
    <w:tmpl w:val="5F7C8B8A"/>
    <w:lvl w:ilvl="0" w:tplc="13CE43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7"/>
  </w:num>
  <w:num w:numId="2">
    <w:abstractNumId w:val="46"/>
  </w:num>
  <w:num w:numId="3">
    <w:abstractNumId w:val="15"/>
  </w:num>
  <w:num w:numId="4">
    <w:abstractNumId w:val="18"/>
  </w:num>
  <w:num w:numId="5">
    <w:abstractNumId w:val="26"/>
  </w:num>
  <w:num w:numId="6">
    <w:abstractNumId w:val="23"/>
  </w:num>
  <w:num w:numId="7">
    <w:abstractNumId w:val="22"/>
  </w:num>
  <w:num w:numId="8">
    <w:abstractNumId w:val="0"/>
  </w:num>
  <w:num w:numId="9">
    <w:abstractNumId w:val="1"/>
  </w:num>
  <w:num w:numId="10">
    <w:abstractNumId w:val="31"/>
  </w:num>
  <w:num w:numId="11">
    <w:abstractNumId w:val="33"/>
  </w:num>
  <w:num w:numId="12">
    <w:abstractNumId w:val="40"/>
  </w:num>
  <w:num w:numId="13">
    <w:abstractNumId w:val="17"/>
  </w:num>
  <w:num w:numId="14">
    <w:abstractNumId w:val="16"/>
  </w:num>
  <w:num w:numId="15">
    <w:abstractNumId w:val="9"/>
  </w:num>
  <w:num w:numId="16">
    <w:abstractNumId w:val="14"/>
  </w:num>
  <w:num w:numId="17">
    <w:abstractNumId w:val="2"/>
  </w:num>
  <w:num w:numId="18">
    <w:abstractNumId w:val="43"/>
  </w:num>
  <w:num w:numId="19">
    <w:abstractNumId w:val="13"/>
  </w:num>
  <w:num w:numId="20">
    <w:abstractNumId w:val="34"/>
  </w:num>
  <w:num w:numId="21">
    <w:abstractNumId w:val="19"/>
  </w:num>
  <w:num w:numId="22">
    <w:abstractNumId w:val="3"/>
  </w:num>
  <w:num w:numId="23">
    <w:abstractNumId w:val="8"/>
  </w:num>
  <w:num w:numId="24">
    <w:abstractNumId w:val="45"/>
  </w:num>
  <w:num w:numId="25">
    <w:abstractNumId w:val="25"/>
  </w:num>
  <w:num w:numId="26">
    <w:abstractNumId w:val="42"/>
  </w:num>
  <w:num w:numId="27">
    <w:abstractNumId w:val="27"/>
  </w:num>
  <w:num w:numId="28">
    <w:abstractNumId w:val="44"/>
  </w:num>
  <w:num w:numId="29">
    <w:abstractNumId w:val="21"/>
  </w:num>
  <w:num w:numId="30">
    <w:abstractNumId w:val="5"/>
  </w:num>
  <w:num w:numId="31">
    <w:abstractNumId w:val="38"/>
  </w:num>
  <w:num w:numId="32">
    <w:abstractNumId w:val="24"/>
  </w:num>
  <w:num w:numId="33">
    <w:abstractNumId w:val="20"/>
  </w:num>
  <w:num w:numId="34">
    <w:abstractNumId w:val="11"/>
  </w:num>
  <w:num w:numId="35">
    <w:abstractNumId w:val="7"/>
  </w:num>
  <w:num w:numId="36">
    <w:abstractNumId w:val="41"/>
  </w:num>
  <w:num w:numId="37">
    <w:abstractNumId w:val="30"/>
  </w:num>
  <w:num w:numId="38">
    <w:abstractNumId w:val="28"/>
  </w:num>
  <w:num w:numId="39">
    <w:abstractNumId w:val="6"/>
  </w:num>
  <w:num w:numId="40">
    <w:abstractNumId w:val="36"/>
  </w:num>
  <w:num w:numId="41">
    <w:abstractNumId w:val="39"/>
  </w:num>
  <w:num w:numId="42">
    <w:abstractNumId w:val="29"/>
  </w:num>
  <w:num w:numId="43">
    <w:abstractNumId w:val="35"/>
  </w:num>
  <w:num w:numId="44">
    <w:abstractNumId w:val="10"/>
  </w:num>
  <w:num w:numId="45">
    <w:abstractNumId w:val="12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F"/>
    <w:rsid w:val="00000FAD"/>
    <w:rsid w:val="0001010B"/>
    <w:rsid w:val="00012ACC"/>
    <w:rsid w:val="00015A42"/>
    <w:rsid w:val="0004408D"/>
    <w:rsid w:val="0006174A"/>
    <w:rsid w:val="00080437"/>
    <w:rsid w:val="00083979"/>
    <w:rsid w:val="00097A8E"/>
    <w:rsid w:val="000C1EEE"/>
    <w:rsid w:val="001244AC"/>
    <w:rsid w:val="00124E1F"/>
    <w:rsid w:val="00125732"/>
    <w:rsid w:val="00140CD6"/>
    <w:rsid w:val="001E7ABA"/>
    <w:rsid w:val="00244975"/>
    <w:rsid w:val="00246183"/>
    <w:rsid w:val="00272F0B"/>
    <w:rsid w:val="00273B2F"/>
    <w:rsid w:val="00273E56"/>
    <w:rsid w:val="00274D62"/>
    <w:rsid w:val="002A130E"/>
    <w:rsid w:val="002C09FF"/>
    <w:rsid w:val="002D26DA"/>
    <w:rsid w:val="002E4BF0"/>
    <w:rsid w:val="00321873"/>
    <w:rsid w:val="00356E3E"/>
    <w:rsid w:val="003752F1"/>
    <w:rsid w:val="00387590"/>
    <w:rsid w:val="003C3E19"/>
    <w:rsid w:val="003D4067"/>
    <w:rsid w:val="003E1CC3"/>
    <w:rsid w:val="003F5E2B"/>
    <w:rsid w:val="003F7A6C"/>
    <w:rsid w:val="00430F9D"/>
    <w:rsid w:val="00491628"/>
    <w:rsid w:val="004A08DE"/>
    <w:rsid w:val="004A542F"/>
    <w:rsid w:val="0050338D"/>
    <w:rsid w:val="00516FD5"/>
    <w:rsid w:val="005838F7"/>
    <w:rsid w:val="005A01DC"/>
    <w:rsid w:val="005B069E"/>
    <w:rsid w:val="005C120C"/>
    <w:rsid w:val="005F4D69"/>
    <w:rsid w:val="00614BE6"/>
    <w:rsid w:val="006374AE"/>
    <w:rsid w:val="006533D8"/>
    <w:rsid w:val="00653E60"/>
    <w:rsid w:val="00654634"/>
    <w:rsid w:val="00665581"/>
    <w:rsid w:val="00666984"/>
    <w:rsid w:val="00666FAE"/>
    <w:rsid w:val="00680F10"/>
    <w:rsid w:val="00690232"/>
    <w:rsid w:val="00690253"/>
    <w:rsid w:val="00697E63"/>
    <w:rsid w:val="006A314C"/>
    <w:rsid w:val="006B1A16"/>
    <w:rsid w:val="006C7EAA"/>
    <w:rsid w:val="006F279A"/>
    <w:rsid w:val="006F3A8A"/>
    <w:rsid w:val="006F7FAB"/>
    <w:rsid w:val="00704245"/>
    <w:rsid w:val="00711992"/>
    <w:rsid w:val="0071330D"/>
    <w:rsid w:val="007403E3"/>
    <w:rsid w:val="00745169"/>
    <w:rsid w:val="00760041"/>
    <w:rsid w:val="00767B10"/>
    <w:rsid w:val="00781B17"/>
    <w:rsid w:val="0079521C"/>
    <w:rsid w:val="007C1AD6"/>
    <w:rsid w:val="007D0812"/>
    <w:rsid w:val="007F4092"/>
    <w:rsid w:val="00816F2F"/>
    <w:rsid w:val="00820654"/>
    <w:rsid w:val="008232D9"/>
    <w:rsid w:val="00832538"/>
    <w:rsid w:val="00846CBD"/>
    <w:rsid w:val="008537D3"/>
    <w:rsid w:val="0086181F"/>
    <w:rsid w:val="00862F8E"/>
    <w:rsid w:val="00872CBE"/>
    <w:rsid w:val="008B625E"/>
    <w:rsid w:val="008D2435"/>
    <w:rsid w:val="008D30AD"/>
    <w:rsid w:val="008E0A74"/>
    <w:rsid w:val="00926A1D"/>
    <w:rsid w:val="00937C1A"/>
    <w:rsid w:val="00941D7B"/>
    <w:rsid w:val="00960A9E"/>
    <w:rsid w:val="00983007"/>
    <w:rsid w:val="00984D73"/>
    <w:rsid w:val="009D44C1"/>
    <w:rsid w:val="00A67260"/>
    <w:rsid w:val="00A72A85"/>
    <w:rsid w:val="00A90515"/>
    <w:rsid w:val="00A953F4"/>
    <w:rsid w:val="00A9663F"/>
    <w:rsid w:val="00AC5B51"/>
    <w:rsid w:val="00AD0A18"/>
    <w:rsid w:val="00AF2D68"/>
    <w:rsid w:val="00AF3E80"/>
    <w:rsid w:val="00B57128"/>
    <w:rsid w:val="00B62934"/>
    <w:rsid w:val="00B703CF"/>
    <w:rsid w:val="00B91385"/>
    <w:rsid w:val="00BA19A8"/>
    <w:rsid w:val="00BB02C3"/>
    <w:rsid w:val="00BB6CAA"/>
    <w:rsid w:val="00BB7BFB"/>
    <w:rsid w:val="00BC27DD"/>
    <w:rsid w:val="00BE54E5"/>
    <w:rsid w:val="00C02721"/>
    <w:rsid w:val="00C60DF9"/>
    <w:rsid w:val="00C67990"/>
    <w:rsid w:val="00C8525D"/>
    <w:rsid w:val="00CA1CBE"/>
    <w:rsid w:val="00CA70AF"/>
    <w:rsid w:val="00CE598C"/>
    <w:rsid w:val="00CF15D3"/>
    <w:rsid w:val="00CF5E47"/>
    <w:rsid w:val="00D156B7"/>
    <w:rsid w:val="00D27560"/>
    <w:rsid w:val="00D4274D"/>
    <w:rsid w:val="00D80C88"/>
    <w:rsid w:val="00D934CC"/>
    <w:rsid w:val="00D96F76"/>
    <w:rsid w:val="00DA3832"/>
    <w:rsid w:val="00DC0AF8"/>
    <w:rsid w:val="00DD3416"/>
    <w:rsid w:val="00DF42CA"/>
    <w:rsid w:val="00E3518D"/>
    <w:rsid w:val="00E733C7"/>
    <w:rsid w:val="00E760B5"/>
    <w:rsid w:val="00E87308"/>
    <w:rsid w:val="00ED5DF6"/>
    <w:rsid w:val="00EF5ADD"/>
    <w:rsid w:val="00F02DA8"/>
    <w:rsid w:val="00F30676"/>
    <w:rsid w:val="00F56CD5"/>
    <w:rsid w:val="00F73439"/>
    <w:rsid w:val="00F75DB1"/>
    <w:rsid w:val="00F9024C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C47456-DA4D-4E5B-8CA1-582A4B2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B7"/>
  </w:style>
  <w:style w:type="paragraph" w:styleId="Ttulo1">
    <w:name w:val="heading 1"/>
    <w:basedOn w:val="Normal"/>
    <w:next w:val="Normal"/>
    <w:qFormat/>
    <w:rsid w:val="00D156B7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156B7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56B7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56B7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D156B7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156B7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156B7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156B7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156B7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156B7"/>
    <w:pPr>
      <w:ind w:left="708"/>
    </w:pPr>
    <w:rPr>
      <w:sz w:val="28"/>
    </w:rPr>
  </w:style>
  <w:style w:type="paragraph" w:styleId="Corpodetexto">
    <w:name w:val="Body Text"/>
    <w:basedOn w:val="Normal"/>
    <w:rsid w:val="00D156B7"/>
    <w:rPr>
      <w:sz w:val="26"/>
    </w:rPr>
  </w:style>
  <w:style w:type="paragraph" w:styleId="Corpodetexto2">
    <w:name w:val="Body Text 2"/>
    <w:basedOn w:val="Normal"/>
    <w:rsid w:val="00D156B7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D156B7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link w:val="TextodebaloChar"/>
    <w:rsid w:val="00FB4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43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902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2C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4634"/>
    <w:rPr>
      <w:color w:val="0000FF" w:themeColor="hyperlink"/>
      <w:u w:val="single"/>
    </w:rPr>
  </w:style>
  <w:style w:type="table" w:styleId="Tabelacomgrade">
    <w:name w:val="Table Grid"/>
    <w:basedOn w:val="Tabelanormal"/>
    <w:rsid w:val="00F75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"/>
    <w:next w:val="Normal"/>
    <w:uiPriority w:val="99"/>
    <w:rsid w:val="005A01DC"/>
    <w:pPr>
      <w:autoSpaceDE w:val="0"/>
      <w:autoSpaceDN w:val="0"/>
      <w:adjustRightInd w:val="0"/>
      <w:spacing w:line="181" w:lineRule="atLeast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5C120C"/>
    <w:pPr>
      <w:autoSpaceDE w:val="0"/>
      <w:autoSpaceDN w:val="0"/>
      <w:adjustRightInd w:val="0"/>
    </w:pPr>
    <w:rPr>
      <w:rFonts w:ascii="CloisterOpenFace BT" w:eastAsiaTheme="minorHAnsi" w:hAnsi="CloisterOpenFace BT" w:cs="CloisterOpenFace BT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5C120C"/>
    <w:rPr>
      <w:rFonts w:cs="Verdana"/>
      <w:color w:val="000000"/>
      <w:sz w:val="14"/>
      <w:szCs w:val="14"/>
    </w:rPr>
  </w:style>
  <w:style w:type="character" w:customStyle="1" w:styleId="A2">
    <w:name w:val="A2"/>
    <w:uiPriority w:val="99"/>
    <w:rsid w:val="005C120C"/>
    <w:rPr>
      <w:rFonts w:cs="Verdana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DEENP_ENSINO</cp:lastModifiedBy>
  <cp:revision>11</cp:revision>
  <cp:lastPrinted>2017-03-07T16:21:00Z</cp:lastPrinted>
  <dcterms:created xsi:type="dcterms:W3CDTF">2019-11-30T15:42:00Z</dcterms:created>
  <dcterms:modified xsi:type="dcterms:W3CDTF">2019-12-06T20:41:00Z</dcterms:modified>
</cp:coreProperties>
</file>